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37C37" w:rsidR="001625E1" w:rsidP="155C0FF1" w:rsidRDefault="271BBA46" w14:paraId="3307E4B5" w14:textId="255369E4">
      <w:pPr>
        <w:spacing w:before="120" w:after="0" w:line="240" w:lineRule="auto"/>
        <w:jc w:val="both"/>
        <w:rPr>
          <w:rFonts w:eastAsia="Times New Roman" w:cs="Arial"/>
          <w:b/>
          <w:bCs/>
          <w:color w:val="002060"/>
          <w:sz w:val="28"/>
          <w:szCs w:val="28"/>
        </w:rPr>
      </w:pPr>
      <w:r w:rsidRPr="155C0FF1">
        <w:rPr>
          <w:rFonts w:eastAsia="Times New Roman" w:cs="Arial"/>
          <w:b/>
          <w:bCs/>
          <w:color w:val="002060"/>
          <w:sz w:val="28"/>
          <w:szCs w:val="28"/>
        </w:rPr>
        <w:t xml:space="preserve">EMS </w:t>
      </w:r>
      <w:r w:rsidRPr="155C0FF1" w:rsidR="00DF440E">
        <w:rPr>
          <w:rFonts w:eastAsia="Times New Roman" w:cs="Arial"/>
          <w:b/>
          <w:bCs/>
          <w:color w:val="002060"/>
          <w:sz w:val="28"/>
          <w:szCs w:val="28"/>
        </w:rPr>
        <w:t>Scoping Document</w:t>
      </w:r>
    </w:p>
    <w:p w:rsidRPr="001625E1" w:rsidR="001625E1" w:rsidP="00FC0E6E" w:rsidRDefault="001625E1" w14:paraId="672A6659" w14:textId="77777777">
      <w:pPr>
        <w:spacing w:after="0" w:line="240" w:lineRule="auto"/>
        <w:jc w:val="both"/>
        <w:rPr>
          <w:rFonts w:ascii="Bookman Old Style" w:hAnsi="Bookman Old Style" w:eastAsia="Times New Roman" w:cs="Arial"/>
          <w:color w:val="000000"/>
          <w:sz w:val="28"/>
          <w:szCs w:val="28"/>
        </w:rPr>
      </w:pPr>
    </w:p>
    <w:tbl>
      <w:tblPr>
        <w:tblW w:w="9072"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0A0" w:firstRow="1" w:lastRow="0" w:firstColumn="1" w:lastColumn="0" w:noHBand="0" w:noVBand="0"/>
      </w:tblPr>
      <w:tblGrid>
        <w:gridCol w:w="2835"/>
        <w:gridCol w:w="850"/>
        <w:gridCol w:w="1418"/>
        <w:gridCol w:w="1417"/>
        <w:gridCol w:w="960"/>
        <w:gridCol w:w="1592"/>
      </w:tblGrid>
      <w:tr w:rsidRPr="001625E1" w:rsidR="00D06670" w:rsidTr="155C0FF1" w14:paraId="51E5615F" w14:textId="77777777">
        <w:tc>
          <w:tcPr>
            <w:tcW w:w="2835" w:type="dxa"/>
            <w:shd w:val="clear" w:color="auto" w:fill="F2F2F2" w:themeFill="background1" w:themeFillShade="F2"/>
          </w:tcPr>
          <w:p w:rsidRPr="001625E1" w:rsidR="00D06670" w:rsidP="004F67AA" w:rsidRDefault="00D06670" w14:paraId="24F56E97"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 xml:space="preserve">ISO Clause </w:t>
            </w:r>
          </w:p>
        </w:tc>
        <w:tc>
          <w:tcPr>
            <w:tcW w:w="850" w:type="dxa"/>
            <w:shd w:val="clear" w:color="auto" w:fill="F2F2F2" w:themeFill="background1" w:themeFillShade="F2"/>
          </w:tcPr>
          <w:p w:rsidRPr="001625E1" w:rsidR="00D06670" w:rsidP="004F67AA" w:rsidRDefault="00D06670" w14:paraId="02DF78A1"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Ref</w:t>
            </w:r>
          </w:p>
        </w:tc>
        <w:tc>
          <w:tcPr>
            <w:tcW w:w="1418" w:type="dxa"/>
            <w:shd w:val="clear" w:color="auto" w:fill="F2F2F2" w:themeFill="background1" w:themeFillShade="F2"/>
          </w:tcPr>
          <w:p w:rsidRPr="001625E1" w:rsidR="00D06670" w:rsidP="004F67AA" w:rsidRDefault="00D06670" w14:paraId="1C7DF0E4"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Author</w:t>
            </w:r>
          </w:p>
        </w:tc>
        <w:tc>
          <w:tcPr>
            <w:tcW w:w="1417" w:type="dxa"/>
            <w:shd w:val="clear" w:color="auto" w:fill="F2F2F2" w:themeFill="background1" w:themeFillShade="F2"/>
          </w:tcPr>
          <w:p w:rsidRPr="001625E1" w:rsidR="00D06670" w:rsidP="004F67AA" w:rsidRDefault="00D06670" w14:paraId="344E8418"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Approved by</w:t>
            </w:r>
          </w:p>
        </w:tc>
        <w:tc>
          <w:tcPr>
            <w:tcW w:w="960" w:type="dxa"/>
            <w:shd w:val="clear" w:color="auto" w:fill="F2F2F2" w:themeFill="background1" w:themeFillShade="F2"/>
          </w:tcPr>
          <w:p w:rsidRPr="001625E1" w:rsidR="00D06670" w:rsidP="004F67AA" w:rsidRDefault="00D06670" w14:paraId="6B814A1E"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Version</w:t>
            </w:r>
          </w:p>
        </w:tc>
        <w:tc>
          <w:tcPr>
            <w:tcW w:w="1592" w:type="dxa"/>
            <w:shd w:val="clear" w:color="auto" w:fill="F2F2F2" w:themeFill="background1" w:themeFillShade="F2"/>
          </w:tcPr>
          <w:p w:rsidR="00D06670" w:rsidP="004F67AA" w:rsidRDefault="00D06670" w14:paraId="24BDBB2D"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Issue Date</w:t>
            </w:r>
          </w:p>
        </w:tc>
      </w:tr>
      <w:tr w:rsidRPr="001625E1" w:rsidR="00D06670" w:rsidTr="155C0FF1" w14:paraId="27C504F9" w14:textId="77777777">
        <w:tc>
          <w:tcPr>
            <w:tcW w:w="2835" w:type="dxa"/>
          </w:tcPr>
          <w:p w:rsidRPr="001625E1" w:rsidR="00D06670" w:rsidP="00713C94" w:rsidRDefault="00D06670" w14:paraId="3D8BFF34"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4.3 Determining the Scope of the EMS</w:t>
            </w:r>
          </w:p>
        </w:tc>
        <w:tc>
          <w:tcPr>
            <w:tcW w:w="850" w:type="dxa"/>
          </w:tcPr>
          <w:p w:rsidRPr="001625E1" w:rsidR="00D06670" w:rsidP="004F67AA" w:rsidRDefault="00C336C9" w14:paraId="48F326E3"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EM003</w:t>
            </w:r>
          </w:p>
        </w:tc>
        <w:tc>
          <w:tcPr>
            <w:tcW w:w="1418" w:type="dxa"/>
          </w:tcPr>
          <w:p w:rsidRPr="001625E1" w:rsidR="00D06670" w:rsidP="004F67AA" w:rsidRDefault="00D06670" w14:paraId="1220460A"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Clare Casey</w:t>
            </w:r>
          </w:p>
        </w:tc>
        <w:tc>
          <w:tcPr>
            <w:tcW w:w="1417" w:type="dxa"/>
          </w:tcPr>
          <w:p w:rsidRPr="001625E1" w:rsidR="00D06670" w:rsidP="004F67AA" w:rsidRDefault="009F6058" w14:paraId="494D04BB"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Sustainability Board</w:t>
            </w:r>
          </w:p>
        </w:tc>
        <w:tc>
          <w:tcPr>
            <w:tcW w:w="960" w:type="dxa"/>
          </w:tcPr>
          <w:p w:rsidRPr="001625E1" w:rsidR="00D06670" w:rsidP="004F67AA" w:rsidRDefault="00992ECB" w14:paraId="699E2A8F"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2.0</w:t>
            </w:r>
          </w:p>
        </w:tc>
        <w:tc>
          <w:tcPr>
            <w:tcW w:w="1592" w:type="dxa"/>
          </w:tcPr>
          <w:p w:rsidR="00D06670" w:rsidP="004F67AA" w:rsidRDefault="009F6058" w14:paraId="3BA0AE8D"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January 2020</w:t>
            </w:r>
          </w:p>
          <w:p w:rsidRPr="001625E1" w:rsidR="00D06670" w:rsidP="004F67AA" w:rsidRDefault="00D06670" w14:paraId="0A37501D" w14:textId="77777777">
            <w:pPr>
              <w:autoSpaceDE w:val="0"/>
              <w:autoSpaceDN w:val="0"/>
              <w:adjustRightInd w:val="0"/>
              <w:spacing w:after="0" w:line="240" w:lineRule="auto"/>
              <w:rPr>
                <w:rFonts w:eastAsia="Times New Roman" w:cs="Arial"/>
                <w:color w:val="808080" w:themeColor="background1" w:themeShade="80"/>
                <w:sz w:val="18"/>
                <w:szCs w:val="18"/>
                <w:lang w:eastAsia="en-GB"/>
              </w:rPr>
            </w:pPr>
          </w:p>
        </w:tc>
      </w:tr>
    </w:tbl>
    <w:p w:rsidR="001625E1" w:rsidP="001B548B" w:rsidRDefault="001625E1" w14:paraId="5DAB6C7B" w14:textId="77777777">
      <w:pPr>
        <w:numPr>
          <w:ilvl w:val="1"/>
          <w:numId w:val="0"/>
        </w:numPr>
        <w:spacing w:after="200" w:line="276" w:lineRule="auto"/>
        <w:jc w:val="both"/>
        <w:rPr>
          <w:rFonts w:eastAsia="Calibri" w:cs="Times New Roman"/>
          <w:i/>
          <w:iCs/>
          <w:color w:val="4F81BD"/>
          <w:spacing w:val="15"/>
          <w:sz w:val="20"/>
          <w:szCs w:val="20"/>
        </w:rPr>
      </w:pPr>
    </w:p>
    <w:p w:rsidRPr="001625E1" w:rsidR="001625E1" w:rsidP="001B548B" w:rsidRDefault="00F171F2" w14:paraId="02EB378F" w14:textId="77777777">
      <w:pPr>
        <w:keepLines/>
        <w:widowControl w:val="0"/>
        <w:tabs>
          <w:tab w:val="left" w:pos="3495"/>
        </w:tabs>
        <w:spacing w:after="0" w:line="240" w:lineRule="auto"/>
        <w:jc w:val="both"/>
        <w:rPr>
          <w:rFonts w:eastAsia="Times New Roman" w:cs="Arial"/>
          <w:b/>
          <w:noProof/>
          <w:color w:val="000000"/>
          <w:sz w:val="20"/>
          <w:szCs w:val="20"/>
          <w:lang w:eastAsia="en-GB"/>
        </w:rPr>
      </w:pPr>
      <w:r>
        <w:rPr>
          <w:rFonts w:eastAsia="Times New Roman" w:cs="Arial"/>
          <w:b/>
          <w:noProof/>
          <w:color w:val="000000"/>
          <w:sz w:val="20"/>
          <w:szCs w:val="20"/>
          <w:lang w:eastAsia="en-GB"/>
        </w:rPr>
        <w:tab/>
      </w:r>
    </w:p>
    <w:p w:rsidRPr="00337C37" w:rsidR="001625E1" w:rsidP="001B548B" w:rsidRDefault="0040741A" w14:paraId="39EC13BE" w14:textId="77777777">
      <w:pPr>
        <w:pStyle w:val="Heading2"/>
      </w:pPr>
      <w:r>
        <w:t>Purpose</w:t>
      </w:r>
    </w:p>
    <w:p w:rsidR="00C336C9" w:rsidP="001B548B" w:rsidRDefault="00C336C9" w14:paraId="1552F434" w14:textId="77777777">
      <w:pPr>
        <w:jc w:val="both"/>
        <w:rPr>
          <w:sz w:val="20"/>
          <w:szCs w:val="20"/>
        </w:rPr>
      </w:pPr>
      <w:r w:rsidRPr="00C336C9">
        <w:rPr>
          <w:sz w:val="20"/>
          <w:szCs w:val="20"/>
        </w:rPr>
        <w:t>To establish, implement and mainta</w:t>
      </w:r>
      <w:r>
        <w:rPr>
          <w:sz w:val="20"/>
          <w:szCs w:val="20"/>
        </w:rPr>
        <w:t>in a procedure which determines the boundaries and applicability of the environmental management system.  When determining the scope, the organisation shall consider:</w:t>
      </w:r>
    </w:p>
    <w:p w:rsidRPr="00C336C9" w:rsidR="001B548B" w:rsidP="00C336C9" w:rsidRDefault="00C336C9" w14:paraId="04AB9E37" w14:textId="77777777">
      <w:pPr>
        <w:pStyle w:val="ListParagraph"/>
        <w:numPr>
          <w:ilvl w:val="0"/>
          <w:numId w:val="21"/>
        </w:numPr>
        <w:jc w:val="both"/>
        <w:rPr>
          <w:sz w:val="20"/>
          <w:szCs w:val="20"/>
        </w:rPr>
      </w:pPr>
      <w:r w:rsidRPr="00C336C9">
        <w:rPr>
          <w:sz w:val="20"/>
          <w:szCs w:val="20"/>
        </w:rPr>
        <w:t>the external and internal issues referred to in 4.1</w:t>
      </w:r>
    </w:p>
    <w:p w:rsidR="00C336C9" w:rsidP="00C336C9" w:rsidRDefault="00C336C9" w14:paraId="6B0C98ED" w14:textId="77777777">
      <w:pPr>
        <w:pStyle w:val="ListParagraph"/>
        <w:numPr>
          <w:ilvl w:val="0"/>
          <w:numId w:val="21"/>
        </w:numPr>
        <w:jc w:val="both"/>
        <w:rPr>
          <w:sz w:val="20"/>
          <w:szCs w:val="20"/>
        </w:rPr>
      </w:pPr>
      <w:r>
        <w:rPr>
          <w:sz w:val="20"/>
          <w:szCs w:val="20"/>
        </w:rPr>
        <w:t>the compliance obligations referred to in 4.2</w:t>
      </w:r>
    </w:p>
    <w:p w:rsidR="00C336C9" w:rsidP="00C336C9" w:rsidRDefault="00C336C9" w14:paraId="12F1025F" w14:textId="77777777">
      <w:pPr>
        <w:pStyle w:val="ListParagraph"/>
        <w:numPr>
          <w:ilvl w:val="0"/>
          <w:numId w:val="21"/>
        </w:numPr>
        <w:jc w:val="both"/>
        <w:rPr>
          <w:sz w:val="20"/>
          <w:szCs w:val="20"/>
        </w:rPr>
      </w:pPr>
      <w:r>
        <w:rPr>
          <w:sz w:val="20"/>
          <w:szCs w:val="20"/>
        </w:rPr>
        <w:t>the organisational units, functions and physical boundaries</w:t>
      </w:r>
    </w:p>
    <w:p w:rsidR="00C336C9" w:rsidP="00C336C9" w:rsidRDefault="00C336C9" w14:paraId="4995B03A" w14:textId="77777777">
      <w:pPr>
        <w:pStyle w:val="ListParagraph"/>
        <w:numPr>
          <w:ilvl w:val="0"/>
          <w:numId w:val="21"/>
        </w:numPr>
        <w:jc w:val="both"/>
        <w:rPr>
          <w:sz w:val="20"/>
          <w:szCs w:val="20"/>
        </w:rPr>
      </w:pPr>
      <w:r>
        <w:rPr>
          <w:sz w:val="20"/>
          <w:szCs w:val="20"/>
        </w:rPr>
        <w:t>its activities, products and services</w:t>
      </w:r>
    </w:p>
    <w:p w:rsidRPr="00C336C9" w:rsidR="00C336C9" w:rsidP="00C336C9" w:rsidRDefault="00C336C9" w14:paraId="17E89CAA" w14:textId="77777777">
      <w:pPr>
        <w:pStyle w:val="ListParagraph"/>
        <w:numPr>
          <w:ilvl w:val="0"/>
          <w:numId w:val="21"/>
        </w:numPr>
        <w:jc w:val="both"/>
        <w:rPr>
          <w:sz w:val="20"/>
          <w:szCs w:val="20"/>
        </w:rPr>
      </w:pPr>
      <w:r>
        <w:rPr>
          <w:sz w:val="20"/>
          <w:szCs w:val="20"/>
        </w:rPr>
        <w:t>its authority and ability to exercise control and influence</w:t>
      </w:r>
    </w:p>
    <w:p w:rsidRPr="001B548B" w:rsidR="00C336C9" w:rsidP="001B548B" w:rsidRDefault="00C336C9" w14:paraId="6A05A809" w14:textId="77777777">
      <w:pPr>
        <w:jc w:val="both"/>
        <w:rPr>
          <w:sz w:val="20"/>
          <w:szCs w:val="20"/>
        </w:rPr>
      </w:pPr>
    </w:p>
    <w:p w:rsidRPr="00337C37" w:rsidR="00D66288" w:rsidP="001B548B" w:rsidRDefault="00D66288" w14:paraId="56DABE0D" w14:textId="77777777">
      <w:pPr>
        <w:pStyle w:val="Heading2"/>
      </w:pPr>
      <w:r w:rsidRPr="00337C37">
        <w:t>Scope</w:t>
      </w:r>
    </w:p>
    <w:p w:rsidR="00CA259C" w:rsidP="00CA259C" w:rsidRDefault="00CA259C" w14:paraId="14A957AE" w14:textId="77777777">
      <w:pPr>
        <w:jc w:val="both"/>
        <w:rPr>
          <w:sz w:val="20"/>
          <w:szCs w:val="20"/>
        </w:rPr>
      </w:pPr>
      <w:r w:rsidRPr="00CA259C">
        <w:rPr>
          <w:sz w:val="20"/>
          <w:szCs w:val="20"/>
        </w:rPr>
        <w:t xml:space="preserve">The scope of the EMS includes all of the University’s activities (subject to the specifications below), which can be described as ‘the provision of learning, teaching, research and </w:t>
      </w:r>
      <w:r w:rsidR="00D06670">
        <w:rPr>
          <w:sz w:val="20"/>
          <w:szCs w:val="20"/>
        </w:rPr>
        <w:t xml:space="preserve">commuter travel, maintenance and upkeep of </w:t>
      </w:r>
      <w:proofErr w:type="gramStart"/>
      <w:r w:rsidRPr="00CA259C">
        <w:rPr>
          <w:sz w:val="20"/>
          <w:szCs w:val="20"/>
        </w:rPr>
        <w:t>buildings’</w:t>
      </w:r>
      <w:proofErr w:type="gramEnd"/>
      <w:r w:rsidRPr="00CA259C">
        <w:rPr>
          <w:sz w:val="20"/>
          <w:szCs w:val="20"/>
        </w:rPr>
        <w:t xml:space="preserve">. </w:t>
      </w:r>
    </w:p>
    <w:p w:rsidR="00774D66" w:rsidP="00774D66" w:rsidRDefault="00774D66" w14:paraId="5A39BBE3" w14:textId="77777777">
      <w:pPr>
        <w:pStyle w:val="Heading2"/>
        <w:numPr>
          <w:ilvl w:val="0"/>
          <w:numId w:val="0"/>
        </w:numPr>
        <w:spacing w:after="0"/>
      </w:pPr>
    </w:p>
    <w:p w:rsidRPr="00CA259C" w:rsidR="00CA259C" w:rsidP="00CA259C" w:rsidRDefault="00CA259C" w14:paraId="3AE441B7" w14:textId="77777777">
      <w:pPr>
        <w:pStyle w:val="Heading2"/>
        <w:numPr>
          <w:ilvl w:val="1"/>
          <w:numId w:val="1"/>
        </w:numPr>
      </w:pPr>
      <w:r w:rsidRPr="00CA259C">
        <w:t>Locations</w:t>
      </w:r>
    </w:p>
    <w:p w:rsidRPr="00CA259C" w:rsidR="00CA259C" w:rsidP="00CA259C" w:rsidRDefault="00CA259C" w14:paraId="008BCC98" w14:textId="77777777">
      <w:pPr>
        <w:jc w:val="both"/>
        <w:rPr>
          <w:sz w:val="20"/>
          <w:szCs w:val="20"/>
        </w:rPr>
      </w:pPr>
      <w:r w:rsidRPr="00CA259C">
        <w:rPr>
          <w:sz w:val="20"/>
          <w:szCs w:val="20"/>
        </w:rPr>
        <w:t>The following campuses located in Liverpool, the Wirral and London are included within the scope of the EMS:</w:t>
      </w:r>
    </w:p>
    <w:p w:rsidRPr="00CA259C" w:rsidR="00CA259C" w:rsidP="00CA259C" w:rsidRDefault="00CA259C" w14:paraId="3A045030" w14:textId="77777777">
      <w:pPr>
        <w:pStyle w:val="ListParagraph"/>
        <w:numPr>
          <w:ilvl w:val="0"/>
          <w:numId w:val="19"/>
        </w:numPr>
        <w:jc w:val="both"/>
        <w:rPr>
          <w:sz w:val="20"/>
          <w:szCs w:val="20"/>
        </w:rPr>
      </w:pPr>
      <w:r w:rsidRPr="00CA259C">
        <w:rPr>
          <w:sz w:val="20"/>
          <w:szCs w:val="20"/>
        </w:rPr>
        <w:t>North Campus</w:t>
      </w:r>
    </w:p>
    <w:p w:rsidRPr="00CA259C" w:rsidR="00CA259C" w:rsidP="00CA259C" w:rsidRDefault="00CA259C" w14:paraId="0D4D69EE" w14:textId="77777777">
      <w:pPr>
        <w:pStyle w:val="ListParagraph"/>
        <w:numPr>
          <w:ilvl w:val="0"/>
          <w:numId w:val="19"/>
        </w:numPr>
        <w:jc w:val="both"/>
        <w:rPr>
          <w:sz w:val="20"/>
          <w:szCs w:val="20"/>
        </w:rPr>
      </w:pPr>
      <w:r w:rsidRPr="00CA259C">
        <w:rPr>
          <w:sz w:val="20"/>
          <w:szCs w:val="20"/>
        </w:rPr>
        <w:t>Central Campus</w:t>
      </w:r>
    </w:p>
    <w:p w:rsidRPr="00CA259C" w:rsidR="00CA259C" w:rsidP="00CA259C" w:rsidRDefault="00CA259C" w14:paraId="165429F5" w14:textId="77777777">
      <w:pPr>
        <w:pStyle w:val="ListParagraph"/>
        <w:numPr>
          <w:ilvl w:val="0"/>
          <w:numId w:val="19"/>
        </w:numPr>
        <w:jc w:val="both"/>
        <w:rPr>
          <w:sz w:val="20"/>
          <w:szCs w:val="20"/>
        </w:rPr>
      </w:pPr>
      <w:r w:rsidRPr="00CA259C">
        <w:rPr>
          <w:sz w:val="20"/>
          <w:szCs w:val="20"/>
        </w:rPr>
        <w:t>South Campus</w:t>
      </w:r>
    </w:p>
    <w:p w:rsidRPr="00CA259C" w:rsidR="00CA259C" w:rsidP="00CA259C" w:rsidRDefault="000D3358" w14:paraId="515BFDA1" w14:textId="77777777">
      <w:pPr>
        <w:pStyle w:val="ListParagraph"/>
        <w:numPr>
          <w:ilvl w:val="0"/>
          <w:numId w:val="19"/>
        </w:numPr>
        <w:jc w:val="both"/>
        <w:rPr>
          <w:sz w:val="20"/>
          <w:szCs w:val="20"/>
        </w:rPr>
      </w:pPr>
      <w:r>
        <w:rPr>
          <w:sz w:val="20"/>
          <w:szCs w:val="20"/>
        </w:rPr>
        <w:t>Greenbank</w:t>
      </w:r>
    </w:p>
    <w:p w:rsidRPr="00CA259C" w:rsidR="00CA259C" w:rsidP="00CA259C" w:rsidRDefault="00CA259C" w14:paraId="413330B8" w14:textId="77777777">
      <w:pPr>
        <w:pStyle w:val="ListParagraph"/>
        <w:numPr>
          <w:ilvl w:val="0"/>
          <w:numId w:val="19"/>
        </w:numPr>
        <w:jc w:val="both"/>
        <w:rPr>
          <w:sz w:val="20"/>
          <w:szCs w:val="20"/>
        </w:rPr>
      </w:pPr>
      <w:r w:rsidRPr="00CA259C">
        <w:rPr>
          <w:sz w:val="20"/>
          <w:szCs w:val="20"/>
        </w:rPr>
        <w:t>Wyncote</w:t>
      </w:r>
    </w:p>
    <w:p w:rsidRPr="00CA259C" w:rsidR="00CA259C" w:rsidP="00CA259C" w:rsidRDefault="00CA259C" w14:paraId="684B2431" w14:textId="77777777">
      <w:pPr>
        <w:pStyle w:val="ListParagraph"/>
        <w:numPr>
          <w:ilvl w:val="0"/>
          <w:numId w:val="19"/>
        </w:numPr>
        <w:jc w:val="both"/>
        <w:rPr>
          <w:sz w:val="20"/>
          <w:szCs w:val="20"/>
        </w:rPr>
      </w:pPr>
      <w:proofErr w:type="spellStart"/>
      <w:r w:rsidRPr="00CA259C">
        <w:rPr>
          <w:sz w:val="20"/>
          <w:szCs w:val="20"/>
        </w:rPr>
        <w:t>Leahurst</w:t>
      </w:r>
      <w:proofErr w:type="spellEnd"/>
      <w:r w:rsidRPr="00CA259C">
        <w:rPr>
          <w:sz w:val="20"/>
          <w:szCs w:val="20"/>
        </w:rPr>
        <w:t xml:space="preserve"> (includes Ness Heath and Woodpark Farms)</w:t>
      </w:r>
    </w:p>
    <w:p w:rsidRPr="00CA259C" w:rsidR="00CA259C" w:rsidP="00CA259C" w:rsidRDefault="00CA259C" w14:paraId="36F3FC27" w14:textId="77777777">
      <w:pPr>
        <w:pStyle w:val="ListParagraph"/>
        <w:numPr>
          <w:ilvl w:val="0"/>
          <w:numId w:val="19"/>
        </w:numPr>
        <w:jc w:val="both"/>
        <w:rPr>
          <w:sz w:val="20"/>
          <w:szCs w:val="20"/>
        </w:rPr>
      </w:pPr>
      <w:r w:rsidRPr="00CA259C">
        <w:rPr>
          <w:sz w:val="20"/>
          <w:szCs w:val="20"/>
        </w:rPr>
        <w:t>Ness Gardens</w:t>
      </w:r>
    </w:p>
    <w:p w:rsidRPr="00CA259C" w:rsidR="00774D66" w:rsidP="00774D66" w:rsidRDefault="00774D66" w14:paraId="41C8F396" w14:textId="77777777">
      <w:pPr>
        <w:pStyle w:val="ListParagraph"/>
        <w:jc w:val="both"/>
        <w:rPr>
          <w:sz w:val="20"/>
          <w:szCs w:val="20"/>
        </w:rPr>
      </w:pPr>
    </w:p>
    <w:p w:rsidRPr="00CA259C" w:rsidR="00CA259C" w:rsidP="0032241D" w:rsidRDefault="00CA259C" w14:paraId="751475FC" w14:textId="77777777">
      <w:pPr>
        <w:pStyle w:val="Heading2"/>
        <w:numPr>
          <w:ilvl w:val="1"/>
          <w:numId w:val="1"/>
        </w:numPr>
      </w:pPr>
      <w:r w:rsidRPr="00CA259C">
        <w:t>Properties</w:t>
      </w:r>
    </w:p>
    <w:p w:rsidR="00CA259C" w:rsidP="00CA259C" w:rsidRDefault="00CA259C" w14:paraId="2CCD8F5A" w14:textId="77777777">
      <w:pPr>
        <w:jc w:val="both"/>
        <w:rPr>
          <w:sz w:val="20"/>
          <w:szCs w:val="20"/>
        </w:rPr>
      </w:pPr>
      <w:r w:rsidRPr="00CA259C">
        <w:rPr>
          <w:sz w:val="20"/>
          <w:szCs w:val="20"/>
        </w:rPr>
        <w:t xml:space="preserve">The EMS includes all properties owned or leased by </w:t>
      </w:r>
      <w:r w:rsidR="0032241D">
        <w:rPr>
          <w:sz w:val="20"/>
          <w:szCs w:val="20"/>
        </w:rPr>
        <w:t>the university</w:t>
      </w:r>
      <w:r w:rsidRPr="00CA259C">
        <w:rPr>
          <w:sz w:val="20"/>
          <w:szCs w:val="20"/>
        </w:rPr>
        <w:t xml:space="preserve"> within the stated locations that are included in the list of buildings requiring Display Energy Certificates.  A full list of properties included in the EMS is provided in Schedule A.  </w:t>
      </w:r>
    </w:p>
    <w:p w:rsidRPr="00CA259C" w:rsidR="00774D66" w:rsidP="00CA259C" w:rsidRDefault="00774D66" w14:paraId="72A3D3EC" w14:textId="77777777">
      <w:pPr>
        <w:jc w:val="both"/>
        <w:rPr>
          <w:sz w:val="20"/>
          <w:szCs w:val="20"/>
        </w:rPr>
      </w:pPr>
    </w:p>
    <w:p w:rsidRPr="00CA259C" w:rsidR="00CA259C" w:rsidP="0032241D" w:rsidRDefault="00CA259C" w14:paraId="12BA1E23" w14:textId="77777777">
      <w:pPr>
        <w:pStyle w:val="Heading2"/>
        <w:numPr>
          <w:ilvl w:val="1"/>
          <w:numId w:val="1"/>
        </w:numPr>
      </w:pPr>
      <w:r w:rsidRPr="00CA259C">
        <w:t>Personnel</w:t>
      </w:r>
    </w:p>
    <w:p w:rsidRPr="00CA259C" w:rsidR="00CA259C" w:rsidP="00CA259C" w:rsidRDefault="00CA259C" w14:paraId="1B54C5EB" w14:textId="77777777">
      <w:pPr>
        <w:jc w:val="both"/>
        <w:rPr>
          <w:sz w:val="20"/>
          <w:szCs w:val="20"/>
        </w:rPr>
      </w:pPr>
      <w:r w:rsidRPr="00CA259C">
        <w:rPr>
          <w:sz w:val="20"/>
          <w:szCs w:val="20"/>
        </w:rPr>
        <w:lastRenderedPageBreak/>
        <w:t xml:space="preserve">All </w:t>
      </w:r>
      <w:r w:rsidR="00224E90">
        <w:rPr>
          <w:sz w:val="20"/>
          <w:szCs w:val="20"/>
        </w:rPr>
        <w:t>university</w:t>
      </w:r>
      <w:r w:rsidRPr="00CA259C">
        <w:rPr>
          <w:sz w:val="20"/>
          <w:szCs w:val="20"/>
        </w:rPr>
        <w:t xml:space="preserve"> staff are within the scope of the EMS. This includes staff who are placed at premises other than those included in Schedule A.</w:t>
      </w:r>
    </w:p>
    <w:p w:rsidRPr="00CA259C" w:rsidR="00CA259C" w:rsidP="00CA259C" w:rsidRDefault="00CA259C" w14:paraId="0D0B940D" w14:textId="77777777">
      <w:pPr>
        <w:jc w:val="both"/>
        <w:rPr>
          <w:sz w:val="20"/>
          <w:szCs w:val="20"/>
        </w:rPr>
      </w:pPr>
    </w:p>
    <w:p w:rsidRPr="00CA259C" w:rsidR="00CA259C" w:rsidP="0032241D" w:rsidRDefault="00CA259C" w14:paraId="160B2EEB" w14:textId="77777777">
      <w:pPr>
        <w:pStyle w:val="Heading2"/>
        <w:numPr>
          <w:ilvl w:val="1"/>
          <w:numId w:val="1"/>
        </w:numPr>
      </w:pPr>
      <w:r w:rsidRPr="00CA259C">
        <w:t>Equipment</w:t>
      </w:r>
    </w:p>
    <w:p w:rsidRPr="00CA259C" w:rsidR="00CA259C" w:rsidP="00CA259C" w:rsidRDefault="00CA259C" w14:paraId="5EE88234" w14:textId="77777777">
      <w:pPr>
        <w:jc w:val="both"/>
        <w:rPr>
          <w:sz w:val="20"/>
          <w:szCs w:val="20"/>
        </w:rPr>
      </w:pPr>
      <w:r w:rsidRPr="00CA259C">
        <w:rPr>
          <w:sz w:val="20"/>
          <w:szCs w:val="20"/>
        </w:rPr>
        <w:t xml:space="preserve">The EMS covers all </w:t>
      </w:r>
      <w:r w:rsidR="0032241D">
        <w:rPr>
          <w:sz w:val="20"/>
          <w:szCs w:val="20"/>
        </w:rPr>
        <w:t>the university</w:t>
      </w:r>
      <w:r w:rsidRPr="00CA259C">
        <w:rPr>
          <w:sz w:val="20"/>
          <w:szCs w:val="20"/>
        </w:rPr>
        <w:t xml:space="preserve"> owned or leased equipment, facilities and vehicles. </w:t>
      </w:r>
    </w:p>
    <w:p w:rsidRPr="00CA259C" w:rsidR="00CA259C" w:rsidP="00CA259C" w:rsidRDefault="00CA259C" w14:paraId="0E27B00A" w14:textId="77777777">
      <w:pPr>
        <w:jc w:val="both"/>
        <w:rPr>
          <w:sz w:val="20"/>
          <w:szCs w:val="20"/>
        </w:rPr>
      </w:pPr>
    </w:p>
    <w:p w:rsidRPr="00CA259C" w:rsidR="00CA259C" w:rsidP="0032241D" w:rsidRDefault="00CA259C" w14:paraId="0E7703C5" w14:textId="77777777">
      <w:pPr>
        <w:pStyle w:val="Heading2"/>
        <w:numPr>
          <w:ilvl w:val="1"/>
          <w:numId w:val="1"/>
        </w:numPr>
      </w:pPr>
      <w:r w:rsidRPr="00CA259C">
        <w:t>Environmental Impacts, Activities and Compliance</w:t>
      </w:r>
    </w:p>
    <w:p w:rsidRPr="00CA259C" w:rsidR="00CA259C" w:rsidP="00CA259C" w:rsidRDefault="00CA259C" w14:paraId="33816A84" w14:textId="77777777">
      <w:pPr>
        <w:jc w:val="both"/>
        <w:rPr>
          <w:sz w:val="20"/>
          <w:szCs w:val="20"/>
        </w:rPr>
      </w:pPr>
      <w:r w:rsidRPr="00CA259C">
        <w:rPr>
          <w:sz w:val="20"/>
          <w:szCs w:val="20"/>
        </w:rPr>
        <w:t xml:space="preserve">The University leases </w:t>
      </w:r>
      <w:proofErr w:type="gramStart"/>
      <w:r w:rsidRPr="00CA259C">
        <w:rPr>
          <w:sz w:val="20"/>
          <w:szCs w:val="20"/>
        </w:rPr>
        <w:t>a number of</w:t>
      </w:r>
      <w:proofErr w:type="gramEnd"/>
      <w:r w:rsidRPr="00CA259C">
        <w:rPr>
          <w:sz w:val="20"/>
          <w:szCs w:val="20"/>
        </w:rPr>
        <w:t xml:space="preserve"> properties to external organisations (partially or fully). Although certain activities by these commercial enterprises and external organisations may be included in the EMS (such as energy use and waste collection) it is recognised that the </w:t>
      </w:r>
      <w:proofErr w:type="spellStart"/>
      <w:r w:rsidRPr="00CA259C">
        <w:rPr>
          <w:sz w:val="20"/>
          <w:szCs w:val="20"/>
        </w:rPr>
        <w:t>UoL’s</w:t>
      </w:r>
      <w:proofErr w:type="spellEnd"/>
      <w:r w:rsidRPr="00CA259C">
        <w:rPr>
          <w:sz w:val="20"/>
          <w:szCs w:val="20"/>
        </w:rPr>
        <w:t xml:space="preserve"> influence over these activities will be limited.  </w:t>
      </w:r>
    </w:p>
    <w:p w:rsidRPr="00774D66" w:rsidR="00CA259C" w:rsidP="00774D66" w:rsidRDefault="00CA259C" w14:paraId="74833E18" w14:textId="77777777">
      <w:pPr>
        <w:pStyle w:val="ListParagraph"/>
        <w:numPr>
          <w:ilvl w:val="0"/>
          <w:numId w:val="20"/>
        </w:numPr>
        <w:jc w:val="both"/>
        <w:rPr>
          <w:b/>
          <w:color w:val="1F3864" w:themeColor="accent5" w:themeShade="80"/>
          <w:sz w:val="20"/>
          <w:szCs w:val="20"/>
        </w:rPr>
      </w:pPr>
      <w:r w:rsidRPr="00774D66">
        <w:rPr>
          <w:b/>
          <w:color w:val="1F3864" w:themeColor="accent5" w:themeShade="80"/>
          <w:sz w:val="20"/>
          <w:szCs w:val="20"/>
        </w:rPr>
        <w:t>Energy Use in Buildings and Outside Spaces</w:t>
      </w:r>
    </w:p>
    <w:p w:rsidRPr="00CA259C" w:rsidR="00CA259C" w:rsidP="00CA259C" w:rsidRDefault="00CA259C" w14:paraId="2E78F0C3" w14:textId="77777777">
      <w:pPr>
        <w:jc w:val="both"/>
        <w:rPr>
          <w:sz w:val="20"/>
          <w:szCs w:val="20"/>
        </w:rPr>
      </w:pPr>
      <w:r w:rsidRPr="00CA259C">
        <w:rPr>
          <w:sz w:val="20"/>
          <w:szCs w:val="20"/>
        </w:rPr>
        <w:t>Energy consumption included in annual submissions to CRC and ETS are included in the EMS.  This includes energy used by external organisations who lease property if captured within the CRC and ETS data.</w:t>
      </w:r>
    </w:p>
    <w:p w:rsidRPr="00774D66" w:rsidR="00CA259C" w:rsidP="00774D66" w:rsidRDefault="00774D66" w14:paraId="097EBA4D" w14:textId="77777777">
      <w:pPr>
        <w:pStyle w:val="ListParagraph"/>
        <w:numPr>
          <w:ilvl w:val="0"/>
          <w:numId w:val="20"/>
        </w:numPr>
        <w:jc w:val="both"/>
        <w:rPr>
          <w:b/>
          <w:color w:val="1F3864" w:themeColor="accent5" w:themeShade="80"/>
          <w:sz w:val="20"/>
          <w:szCs w:val="20"/>
        </w:rPr>
      </w:pPr>
      <w:r>
        <w:rPr>
          <w:b/>
          <w:color w:val="1F3864" w:themeColor="accent5" w:themeShade="80"/>
          <w:sz w:val="20"/>
          <w:szCs w:val="20"/>
        </w:rPr>
        <w:t>P</w:t>
      </w:r>
      <w:r w:rsidRPr="00774D66" w:rsidR="00CA259C">
        <w:rPr>
          <w:b/>
          <w:color w:val="1F3864" w:themeColor="accent5" w:themeShade="80"/>
          <w:sz w:val="20"/>
          <w:szCs w:val="20"/>
        </w:rPr>
        <w:t>rocurement</w:t>
      </w:r>
    </w:p>
    <w:p w:rsidRPr="00CA259C" w:rsidR="00CA259C" w:rsidP="00CA259C" w:rsidRDefault="00CA259C" w14:paraId="0AC3C39A" w14:textId="77777777">
      <w:pPr>
        <w:jc w:val="both"/>
        <w:rPr>
          <w:sz w:val="20"/>
          <w:szCs w:val="20"/>
        </w:rPr>
      </w:pPr>
      <w:r w:rsidRPr="00CA259C">
        <w:rPr>
          <w:sz w:val="20"/>
          <w:szCs w:val="20"/>
        </w:rPr>
        <w:t xml:space="preserve">All products and services purchased through </w:t>
      </w:r>
      <w:proofErr w:type="spellStart"/>
      <w:r w:rsidRPr="00CA259C">
        <w:rPr>
          <w:sz w:val="20"/>
          <w:szCs w:val="20"/>
        </w:rPr>
        <w:t>UoL’s</w:t>
      </w:r>
      <w:proofErr w:type="spellEnd"/>
      <w:r w:rsidRPr="00CA259C">
        <w:rPr>
          <w:sz w:val="20"/>
          <w:szCs w:val="20"/>
        </w:rPr>
        <w:t xml:space="preserve"> procurement systems are included within the scope of the EMS. </w:t>
      </w:r>
    </w:p>
    <w:p w:rsidRPr="00774D66" w:rsidR="00CA259C" w:rsidP="00774D66" w:rsidRDefault="00CA259C" w14:paraId="48847928" w14:textId="77777777">
      <w:pPr>
        <w:pStyle w:val="ListParagraph"/>
        <w:numPr>
          <w:ilvl w:val="0"/>
          <w:numId w:val="20"/>
        </w:numPr>
        <w:jc w:val="both"/>
        <w:rPr>
          <w:b/>
          <w:color w:val="1F3864" w:themeColor="accent5" w:themeShade="80"/>
          <w:sz w:val="20"/>
          <w:szCs w:val="20"/>
        </w:rPr>
      </w:pPr>
      <w:r w:rsidRPr="00774D66">
        <w:rPr>
          <w:b/>
          <w:color w:val="1F3864" w:themeColor="accent5" w:themeShade="80"/>
          <w:sz w:val="20"/>
          <w:szCs w:val="20"/>
        </w:rPr>
        <w:t>Waste</w:t>
      </w:r>
    </w:p>
    <w:p w:rsidRPr="00CA259C" w:rsidR="00CA259C" w:rsidP="00CA259C" w:rsidRDefault="00CA259C" w14:paraId="106CFF05" w14:textId="77777777">
      <w:pPr>
        <w:jc w:val="both"/>
        <w:rPr>
          <w:sz w:val="20"/>
          <w:szCs w:val="20"/>
        </w:rPr>
      </w:pPr>
      <w:r w:rsidRPr="00CA259C">
        <w:rPr>
          <w:sz w:val="20"/>
          <w:szCs w:val="20"/>
        </w:rPr>
        <w:t xml:space="preserve">All waste arising from </w:t>
      </w:r>
      <w:proofErr w:type="spellStart"/>
      <w:r w:rsidRPr="00CA259C">
        <w:rPr>
          <w:sz w:val="20"/>
          <w:szCs w:val="20"/>
        </w:rPr>
        <w:t>UoL’s</w:t>
      </w:r>
      <w:proofErr w:type="spellEnd"/>
      <w:r w:rsidRPr="00CA259C">
        <w:rPr>
          <w:sz w:val="20"/>
          <w:szCs w:val="20"/>
        </w:rPr>
        <w:t xml:space="preserve"> activities within the attached schedule of properties and/or placed into bins in outside spaces which are collected by waste contractors commissioned through </w:t>
      </w:r>
      <w:proofErr w:type="spellStart"/>
      <w:r w:rsidRPr="00CA259C">
        <w:rPr>
          <w:sz w:val="20"/>
          <w:szCs w:val="20"/>
        </w:rPr>
        <w:t>UoL’s</w:t>
      </w:r>
      <w:proofErr w:type="spellEnd"/>
      <w:r w:rsidRPr="00CA259C">
        <w:rPr>
          <w:sz w:val="20"/>
          <w:szCs w:val="20"/>
        </w:rPr>
        <w:t xml:space="preserve"> procurement team are included within the scope of the EMS. This includes waste collected from properties leased by external organisations if they are collected by waste contractors commissioned through </w:t>
      </w:r>
      <w:r w:rsidR="0032241D">
        <w:rPr>
          <w:sz w:val="20"/>
          <w:szCs w:val="20"/>
        </w:rPr>
        <w:t>the university</w:t>
      </w:r>
      <w:r w:rsidRPr="00CA259C">
        <w:rPr>
          <w:sz w:val="20"/>
          <w:szCs w:val="20"/>
        </w:rPr>
        <w:t xml:space="preserve">. </w:t>
      </w:r>
    </w:p>
    <w:p w:rsidRPr="00774D66" w:rsidR="00CA259C" w:rsidP="00774D66" w:rsidRDefault="00CA259C" w14:paraId="15CFCC82" w14:textId="77777777">
      <w:pPr>
        <w:pStyle w:val="ListParagraph"/>
        <w:numPr>
          <w:ilvl w:val="0"/>
          <w:numId w:val="20"/>
        </w:numPr>
        <w:jc w:val="both"/>
        <w:rPr>
          <w:b/>
          <w:color w:val="1F3864" w:themeColor="accent5" w:themeShade="80"/>
          <w:sz w:val="20"/>
          <w:szCs w:val="20"/>
        </w:rPr>
      </w:pPr>
      <w:r w:rsidRPr="00774D66">
        <w:rPr>
          <w:b/>
          <w:color w:val="1F3864" w:themeColor="accent5" w:themeShade="80"/>
          <w:sz w:val="20"/>
          <w:szCs w:val="20"/>
        </w:rPr>
        <w:t>Travel and Transport</w:t>
      </w:r>
    </w:p>
    <w:p w:rsidRPr="00CA259C" w:rsidR="00CA259C" w:rsidP="00CA259C" w:rsidRDefault="00CA259C" w14:paraId="33358714" w14:textId="77777777">
      <w:pPr>
        <w:jc w:val="both"/>
        <w:rPr>
          <w:sz w:val="20"/>
          <w:szCs w:val="20"/>
        </w:rPr>
      </w:pPr>
      <w:r w:rsidRPr="00CA259C">
        <w:rPr>
          <w:sz w:val="20"/>
          <w:szCs w:val="20"/>
        </w:rPr>
        <w:t xml:space="preserve">All fleet and business miles travelled as well as staff </w:t>
      </w:r>
      <w:proofErr w:type="gramStart"/>
      <w:r w:rsidRPr="00CA259C">
        <w:rPr>
          <w:sz w:val="20"/>
          <w:szCs w:val="20"/>
        </w:rPr>
        <w:t>commute</w:t>
      </w:r>
      <w:proofErr w:type="gramEnd"/>
      <w:r w:rsidRPr="00CA259C">
        <w:rPr>
          <w:sz w:val="20"/>
          <w:szCs w:val="20"/>
        </w:rPr>
        <w:t xml:space="preserve"> and student commute are included within the scope of the EMS. Travel and transport undertaken by external organisations is not included in the EMS.</w:t>
      </w:r>
    </w:p>
    <w:p w:rsidRPr="00774D66" w:rsidR="00CA259C" w:rsidP="00774D66" w:rsidRDefault="00CA259C" w14:paraId="19760777" w14:textId="77777777">
      <w:pPr>
        <w:pStyle w:val="ListParagraph"/>
        <w:numPr>
          <w:ilvl w:val="0"/>
          <w:numId w:val="20"/>
        </w:numPr>
        <w:jc w:val="both"/>
        <w:rPr>
          <w:b/>
          <w:color w:val="1F3864" w:themeColor="accent5" w:themeShade="80"/>
          <w:sz w:val="20"/>
          <w:szCs w:val="20"/>
        </w:rPr>
      </w:pPr>
      <w:r w:rsidRPr="00774D66">
        <w:rPr>
          <w:b/>
          <w:color w:val="1F3864" w:themeColor="accent5" w:themeShade="80"/>
          <w:sz w:val="20"/>
          <w:szCs w:val="20"/>
        </w:rPr>
        <w:t>Compliance</w:t>
      </w:r>
    </w:p>
    <w:p w:rsidRPr="00CA259C" w:rsidR="00CA259C" w:rsidP="00CA259C" w:rsidRDefault="00CA259C" w14:paraId="3989C02B" w14:textId="77777777">
      <w:pPr>
        <w:jc w:val="both"/>
        <w:rPr>
          <w:sz w:val="20"/>
          <w:szCs w:val="20"/>
        </w:rPr>
      </w:pPr>
      <w:r w:rsidRPr="00CA259C">
        <w:rPr>
          <w:sz w:val="20"/>
          <w:szCs w:val="20"/>
        </w:rPr>
        <w:t>Commercial and other organisations that lease properties are required to abide by some of the University’s environmental compliance policies and procedures but are responsible for their own policies in relation to other matters, in line with individual lease arrangements.</w:t>
      </w:r>
    </w:p>
    <w:p w:rsidRPr="00CA259C" w:rsidR="00CA259C" w:rsidP="00CA259C" w:rsidRDefault="00CA259C" w14:paraId="60061E4C" w14:textId="77777777">
      <w:pPr>
        <w:jc w:val="both"/>
        <w:rPr>
          <w:sz w:val="20"/>
          <w:szCs w:val="20"/>
        </w:rPr>
      </w:pPr>
    </w:p>
    <w:p w:rsidRPr="00CA259C" w:rsidR="00CA259C" w:rsidP="0032241D" w:rsidRDefault="006A5273" w14:paraId="6600CED9" w14:textId="77777777">
      <w:pPr>
        <w:pStyle w:val="Heading2"/>
        <w:numPr>
          <w:ilvl w:val="1"/>
          <w:numId w:val="1"/>
        </w:numPr>
      </w:pPr>
      <w:r>
        <w:t>Subsidiaries</w:t>
      </w:r>
      <w:r w:rsidR="0032241D">
        <w:t xml:space="preserve">  </w:t>
      </w:r>
    </w:p>
    <w:p w:rsidR="00774D66" w:rsidP="00CA259C" w:rsidRDefault="0032241D" w14:paraId="3F17A35E" w14:textId="77777777">
      <w:pPr>
        <w:jc w:val="both"/>
        <w:rPr>
          <w:sz w:val="20"/>
          <w:szCs w:val="20"/>
        </w:rPr>
      </w:pPr>
      <w:r w:rsidRPr="0032241D">
        <w:rPr>
          <w:sz w:val="20"/>
          <w:szCs w:val="20"/>
        </w:rPr>
        <w:t>University of Liverpool Construction Company Ltd (ULCCO) and University of Liverpool Energy Company Ltd (ULEC)</w:t>
      </w:r>
      <w:r w:rsidRPr="00CA259C" w:rsidR="00CA259C">
        <w:rPr>
          <w:sz w:val="20"/>
          <w:szCs w:val="20"/>
        </w:rPr>
        <w:t xml:space="preserve">are subsidiaries of </w:t>
      </w:r>
      <w:r>
        <w:rPr>
          <w:sz w:val="20"/>
          <w:szCs w:val="20"/>
        </w:rPr>
        <w:t>the university</w:t>
      </w:r>
      <w:r w:rsidRPr="00CA259C" w:rsidR="00CA259C">
        <w:rPr>
          <w:sz w:val="20"/>
          <w:szCs w:val="20"/>
        </w:rPr>
        <w:t xml:space="preserve">, and for the purposes of the EMS can be considered arms-length organisations, which manage the onsite generation of heat and electricity (ULEC) and construction activities (ULCCO) on behalf of </w:t>
      </w:r>
      <w:r>
        <w:rPr>
          <w:sz w:val="20"/>
          <w:szCs w:val="20"/>
        </w:rPr>
        <w:t>the university</w:t>
      </w:r>
      <w:r w:rsidRPr="00CA259C" w:rsidR="00CA259C">
        <w:rPr>
          <w:sz w:val="20"/>
          <w:szCs w:val="20"/>
        </w:rPr>
        <w:t xml:space="preserve">. </w:t>
      </w:r>
    </w:p>
    <w:p w:rsidR="00CA259C" w:rsidP="00CA259C" w:rsidRDefault="00CA259C" w14:paraId="4B419B82" w14:textId="77777777">
      <w:pPr>
        <w:jc w:val="both"/>
        <w:rPr>
          <w:sz w:val="20"/>
          <w:szCs w:val="20"/>
        </w:rPr>
      </w:pPr>
      <w:r w:rsidRPr="00CA259C">
        <w:rPr>
          <w:sz w:val="20"/>
          <w:szCs w:val="20"/>
        </w:rPr>
        <w:lastRenderedPageBreak/>
        <w:t xml:space="preserve">It is considered that the environmental impact of these activities </w:t>
      </w:r>
      <w:proofErr w:type="gramStart"/>
      <w:r w:rsidRPr="00CA259C">
        <w:rPr>
          <w:sz w:val="20"/>
          <w:szCs w:val="20"/>
        </w:rPr>
        <w:t>are</w:t>
      </w:r>
      <w:proofErr w:type="gramEnd"/>
      <w:r w:rsidRPr="00CA259C">
        <w:rPr>
          <w:sz w:val="20"/>
          <w:szCs w:val="20"/>
        </w:rPr>
        <w:t xml:space="preserve"> included in the EMS as a) all of the on-site electricity and heat generated by ULEC and the fuel used in that generation on behalf of the University is included in </w:t>
      </w:r>
      <w:proofErr w:type="spellStart"/>
      <w:r w:rsidRPr="00CA259C">
        <w:rPr>
          <w:sz w:val="20"/>
          <w:szCs w:val="20"/>
        </w:rPr>
        <w:t>UoL’s</w:t>
      </w:r>
      <w:proofErr w:type="spellEnd"/>
      <w:r w:rsidRPr="00CA259C">
        <w:rPr>
          <w:sz w:val="20"/>
          <w:szCs w:val="20"/>
        </w:rPr>
        <w:t xml:space="preserve"> consumption figures and b) all of the construction activity carried out by ULCCO on behalf of the University are captured through </w:t>
      </w:r>
      <w:proofErr w:type="spellStart"/>
      <w:r w:rsidRPr="00CA259C">
        <w:rPr>
          <w:sz w:val="20"/>
          <w:szCs w:val="20"/>
        </w:rPr>
        <w:t>UoL’s</w:t>
      </w:r>
      <w:proofErr w:type="spellEnd"/>
      <w:r w:rsidRPr="00CA259C">
        <w:rPr>
          <w:sz w:val="20"/>
          <w:szCs w:val="20"/>
        </w:rPr>
        <w:t xml:space="preserve"> procurement expenditure.  Beyond these activities ULCCO and ULEC are largely administrative organisations with very small use of resources.</w:t>
      </w:r>
    </w:p>
    <w:p w:rsidRPr="00CA259C" w:rsidR="00774D66" w:rsidP="00CA259C" w:rsidRDefault="00774D66" w14:paraId="44EAFD9C" w14:textId="77777777">
      <w:pPr>
        <w:jc w:val="both"/>
        <w:rPr>
          <w:sz w:val="20"/>
          <w:szCs w:val="20"/>
        </w:rPr>
      </w:pPr>
    </w:p>
    <w:p w:rsidRPr="00CA259C" w:rsidR="00CA259C" w:rsidP="0032241D" w:rsidRDefault="00CA259C" w14:paraId="684B2E79" w14:textId="77777777">
      <w:pPr>
        <w:pStyle w:val="Heading2"/>
        <w:numPr>
          <w:ilvl w:val="1"/>
          <w:numId w:val="1"/>
        </w:numPr>
      </w:pPr>
      <w:r w:rsidRPr="00CA259C">
        <w:t>Contractors</w:t>
      </w:r>
    </w:p>
    <w:p w:rsidRPr="00CA259C" w:rsidR="00D66288" w:rsidP="00CA259C" w:rsidRDefault="00CA259C" w14:paraId="0FE116C4" w14:textId="77777777">
      <w:pPr>
        <w:jc w:val="both"/>
        <w:rPr>
          <w:sz w:val="20"/>
          <w:szCs w:val="20"/>
        </w:rPr>
      </w:pPr>
      <w:r w:rsidRPr="00CA259C">
        <w:rPr>
          <w:sz w:val="20"/>
          <w:szCs w:val="20"/>
        </w:rPr>
        <w:t>All contractors and suppliers of services undertaking work on any of the premises included within Schedule A are required to abide by any policies and procedures implemented as part of the EMS.</w:t>
      </w:r>
    </w:p>
    <w:p w:rsidRPr="00337C37" w:rsidR="007A0CB5" w:rsidP="001B548B" w:rsidRDefault="007A0CB5" w14:paraId="4B94D5A5" w14:textId="77777777">
      <w:pPr>
        <w:jc w:val="both"/>
      </w:pPr>
    </w:p>
    <w:p w:rsidR="0085083F" w:rsidP="001B548B" w:rsidRDefault="0085083F" w14:paraId="1118921C" w14:textId="77777777">
      <w:pPr>
        <w:pStyle w:val="Heading2"/>
      </w:pPr>
      <w:r w:rsidRPr="00337C37">
        <w:t>Review</w:t>
      </w:r>
    </w:p>
    <w:p w:rsidRPr="0032241D" w:rsidR="0032241D" w:rsidP="00E07A8C" w:rsidRDefault="0032241D" w14:paraId="766F60BB" w14:textId="77777777">
      <w:pPr>
        <w:jc w:val="both"/>
        <w:rPr>
          <w:sz w:val="20"/>
          <w:szCs w:val="20"/>
        </w:rPr>
      </w:pPr>
      <w:r w:rsidRPr="0032241D">
        <w:rPr>
          <w:sz w:val="20"/>
          <w:szCs w:val="20"/>
        </w:rPr>
        <w:t>A review will be undertaken annually as part of the EMS management review process. In principle this will ensure that the Scoping Document remains appropriate to the nature, scale and environmental impact of the University of Liverpool in relation to its activities, products and services.</w:t>
      </w:r>
    </w:p>
    <w:p w:rsidRPr="0032241D" w:rsidR="0032241D" w:rsidP="00E07A8C" w:rsidRDefault="0032241D" w14:paraId="58694809" w14:textId="77777777">
      <w:pPr>
        <w:spacing w:after="0"/>
        <w:jc w:val="both"/>
        <w:rPr>
          <w:sz w:val="20"/>
          <w:szCs w:val="20"/>
        </w:rPr>
      </w:pPr>
      <w:r w:rsidRPr="0032241D">
        <w:rPr>
          <w:sz w:val="20"/>
          <w:szCs w:val="20"/>
        </w:rPr>
        <w:t xml:space="preserve">Document revision may also take place at any time if considered appropriate, reasons for revision could include:  </w:t>
      </w:r>
    </w:p>
    <w:p w:rsidRPr="0032241D" w:rsidR="0032241D" w:rsidP="00E07A8C" w:rsidRDefault="0032241D" w14:paraId="096EEFE6" w14:textId="77777777">
      <w:pPr>
        <w:numPr>
          <w:ilvl w:val="0"/>
          <w:numId w:val="17"/>
        </w:numPr>
        <w:spacing w:after="0"/>
        <w:jc w:val="both"/>
        <w:rPr>
          <w:sz w:val="20"/>
          <w:szCs w:val="20"/>
        </w:rPr>
      </w:pPr>
      <w:r w:rsidRPr="0032241D">
        <w:rPr>
          <w:sz w:val="20"/>
          <w:szCs w:val="20"/>
        </w:rPr>
        <w:t>Alteration to activities</w:t>
      </w:r>
    </w:p>
    <w:p w:rsidRPr="0032241D" w:rsidR="0032241D" w:rsidP="00E07A8C" w:rsidRDefault="0032241D" w14:paraId="08EC1F8D" w14:textId="77777777">
      <w:pPr>
        <w:numPr>
          <w:ilvl w:val="0"/>
          <w:numId w:val="17"/>
        </w:numPr>
        <w:spacing w:after="0"/>
        <w:jc w:val="both"/>
        <w:rPr>
          <w:sz w:val="20"/>
          <w:szCs w:val="20"/>
        </w:rPr>
      </w:pPr>
      <w:r w:rsidRPr="0032241D">
        <w:rPr>
          <w:sz w:val="20"/>
          <w:szCs w:val="20"/>
        </w:rPr>
        <w:t>Changes in environmental legislation</w:t>
      </w:r>
    </w:p>
    <w:p w:rsidRPr="0032241D" w:rsidR="0032241D" w:rsidP="00E07A8C" w:rsidRDefault="0032241D" w14:paraId="4D359510" w14:textId="77777777">
      <w:pPr>
        <w:numPr>
          <w:ilvl w:val="0"/>
          <w:numId w:val="17"/>
        </w:numPr>
        <w:spacing w:after="0"/>
        <w:jc w:val="both"/>
        <w:rPr>
          <w:sz w:val="20"/>
          <w:szCs w:val="20"/>
        </w:rPr>
      </w:pPr>
      <w:r w:rsidRPr="0032241D">
        <w:rPr>
          <w:sz w:val="20"/>
          <w:szCs w:val="20"/>
        </w:rPr>
        <w:t>Revision of the standard ISO 14001: 2015 Environmental Management Systems</w:t>
      </w:r>
    </w:p>
    <w:p w:rsidRPr="0032241D" w:rsidR="0032241D" w:rsidP="00E07A8C" w:rsidRDefault="0032241D" w14:paraId="3DEEC669" w14:textId="77777777">
      <w:pPr>
        <w:jc w:val="both"/>
        <w:rPr>
          <w:sz w:val="20"/>
          <w:szCs w:val="20"/>
        </w:rPr>
      </w:pPr>
    </w:p>
    <w:p w:rsidRPr="00337C37" w:rsidR="00FC0E6E" w:rsidP="001B548B" w:rsidRDefault="00FC0E6E" w14:paraId="3656B9AB" w14:textId="77777777">
      <w:pPr>
        <w:jc w:val="both"/>
      </w:pPr>
    </w:p>
    <w:p w:rsidRPr="00337C37" w:rsidR="00FC0E6E" w:rsidP="001B548B" w:rsidRDefault="00FC0E6E" w14:paraId="706AE58B" w14:textId="77777777">
      <w:pPr>
        <w:pStyle w:val="Heading2"/>
      </w:pPr>
      <w:r w:rsidRPr="00337C37">
        <w:t>Related Documents</w:t>
      </w:r>
    </w:p>
    <w:p w:rsidRPr="00E07A8C" w:rsidR="0085083F" w:rsidP="001B548B" w:rsidRDefault="00E07A8C" w14:paraId="28252FCD" w14:textId="77777777">
      <w:pPr>
        <w:jc w:val="both"/>
        <w:rPr>
          <w:sz w:val="20"/>
          <w:szCs w:val="20"/>
        </w:rPr>
      </w:pPr>
      <w:r w:rsidRPr="00E07A8C">
        <w:rPr>
          <w:sz w:val="20"/>
          <w:szCs w:val="20"/>
        </w:rPr>
        <w:t>Schedule A</w:t>
      </w:r>
      <w:r w:rsidR="00952704">
        <w:rPr>
          <w:sz w:val="20"/>
          <w:szCs w:val="20"/>
        </w:rPr>
        <w:t xml:space="preserve"> Scoping Document</w:t>
      </w:r>
    </w:p>
    <w:p w:rsidRPr="00337C37" w:rsidR="00E07A8C" w:rsidP="001B548B" w:rsidRDefault="00E07A8C" w14:paraId="45FB0818" w14:textId="77777777">
      <w:pPr>
        <w:jc w:val="both"/>
      </w:pPr>
    </w:p>
    <w:p w:rsidRPr="00337C37" w:rsidR="007A0CB5" w:rsidP="001B548B" w:rsidRDefault="007A0CB5" w14:paraId="7C7CB911" w14:textId="77777777">
      <w:pPr>
        <w:pStyle w:val="Heading2"/>
      </w:pPr>
      <w:r w:rsidRPr="00337C37">
        <w:t>Changes to the Procedure</w:t>
      </w:r>
    </w:p>
    <w:p w:rsidRPr="007A0CB5" w:rsidR="007A0CB5" w:rsidP="001B548B" w:rsidRDefault="007A0CB5" w14:paraId="042B2AF8" w14:textId="44DCD85B">
      <w:pPr>
        <w:spacing w:after="0" w:line="240" w:lineRule="auto"/>
        <w:jc w:val="both"/>
        <w:rPr>
          <w:rFonts w:eastAsia="Times New Roman" w:cs="Arial"/>
          <w:color w:val="000000"/>
          <w:sz w:val="20"/>
          <w:szCs w:val="20"/>
        </w:rPr>
      </w:pPr>
      <w:r w:rsidRPr="638B88C5" w:rsidR="007A0CB5">
        <w:rPr>
          <w:rFonts w:eastAsia="Times New Roman" w:cs="Arial"/>
          <w:color w:val="000000" w:themeColor="text1" w:themeTint="FF" w:themeShade="FF"/>
          <w:sz w:val="20"/>
          <w:szCs w:val="20"/>
        </w:rPr>
        <w:t xml:space="preserve">If there are any changes to this </w:t>
      </w:r>
      <w:r w:rsidRPr="638B88C5" w:rsidR="00FC0E6E">
        <w:rPr>
          <w:rFonts w:eastAsia="Times New Roman" w:cs="Arial"/>
          <w:color w:val="000000" w:themeColor="text1" w:themeTint="FF" w:themeShade="FF"/>
          <w:sz w:val="20"/>
          <w:szCs w:val="20"/>
        </w:rPr>
        <w:t>procedure,</w:t>
      </w:r>
      <w:r w:rsidRPr="638B88C5" w:rsidR="007A0CB5">
        <w:rPr>
          <w:rFonts w:eastAsia="Times New Roman" w:cs="Arial"/>
          <w:color w:val="000000" w:themeColor="text1" w:themeTint="FF" w:themeShade="FF"/>
          <w:sz w:val="20"/>
          <w:szCs w:val="20"/>
        </w:rPr>
        <w:t xml:space="preserve"> please contact the EMS Manager </w:t>
      </w:r>
      <w:r w:rsidRPr="638B88C5" w:rsidR="007A0CB5">
        <w:rPr>
          <w:rFonts w:eastAsia="Times New Roman" w:cs="Arial"/>
          <w:color w:val="000000" w:themeColor="text1" w:themeTint="FF" w:themeShade="FF"/>
          <w:sz w:val="20"/>
          <w:szCs w:val="20"/>
        </w:rPr>
        <w:t xml:space="preserve">at </w:t>
      </w:r>
      <w:r w:rsidRPr="638B88C5" w:rsidR="0073D371">
        <w:rPr>
          <w:rFonts w:eastAsia="Times New Roman" w:cs="Arial"/>
          <w:color w:val="000000" w:themeColor="text1" w:themeTint="FF" w:themeShade="FF"/>
          <w:sz w:val="20"/>
          <w:szCs w:val="20"/>
        </w:rPr>
        <w:t>sustainability@liverpool.ac.uk.</w:t>
      </w:r>
    </w:p>
    <w:p w:rsidRPr="007A0CB5" w:rsidR="007A0CB5" w:rsidP="001B548B" w:rsidRDefault="007A0CB5" w14:paraId="049F31CB" w14:textId="77777777">
      <w:pPr>
        <w:spacing w:after="0" w:line="240" w:lineRule="auto"/>
        <w:jc w:val="both"/>
        <w:rPr>
          <w:rFonts w:eastAsia="Times New Roman" w:cs="Arial"/>
          <w:color w:val="000000"/>
          <w:sz w:val="20"/>
          <w:szCs w:val="20"/>
        </w:rPr>
      </w:pPr>
    </w:p>
    <w:tbl>
      <w:tblPr>
        <w:tblStyle w:val="TableGrid"/>
        <w:tblW w:w="0" w:type="auto"/>
        <w:tblLook w:val="04A0" w:firstRow="1" w:lastRow="0" w:firstColumn="1" w:lastColumn="0" w:noHBand="0" w:noVBand="1"/>
      </w:tblPr>
      <w:tblGrid>
        <w:gridCol w:w="1271"/>
        <w:gridCol w:w="5954"/>
        <w:gridCol w:w="1791"/>
      </w:tblGrid>
      <w:tr w:rsidRPr="007A0CB5" w:rsidR="007A0CB5" w:rsidTr="00BA1621" w14:paraId="691CA44C" w14:textId="77777777">
        <w:trPr>
          <w:trHeight w:val="340"/>
        </w:trPr>
        <w:tc>
          <w:tcPr>
            <w:tcW w:w="1271" w:type="dxa"/>
            <w:shd w:val="clear" w:color="auto" w:fill="F2F2F2" w:themeFill="background1" w:themeFillShade="F2"/>
            <w:vAlign w:val="center"/>
          </w:tcPr>
          <w:p w:rsidRPr="00BA1621" w:rsidR="007A0CB5" w:rsidP="001B548B" w:rsidRDefault="007A0CB5" w14:paraId="2AE331A5" w14:textId="77777777">
            <w:pPr>
              <w:autoSpaceDE w:val="0"/>
              <w:autoSpaceDN w:val="0"/>
              <w:adjustRightInd w:val="0"/>
              <w:jc w:val="both"/>
              <w:rPr>
                <w:rFonts w:eastAsia="Times New Roman" w:cs="Arial"/>
                <w:color w:val="808080" w:themeColor="background1" w:themeShade="80"/>
                <w:sz w:val="20"/>
                <w:szCs w:val="20"/>
                <w:lang w:eastAsia="en-GB"/>
              </w:rPr>
            </w:pPr>
            <w:r w:rsidRPr="00BA1621">
              <w:rPr>
                <w:rFonts w:eastAsia="Times New Roman" w:cs="Arial"/>
                <w:color w:val="808080" w:themeColor="background1" w:themeShade="80"/>
                <w:sz w:val="20"/>
                <w:szCs w:val="20"/>
                <w:lang w:eastAsia="en-GB"/>
              </w:rPr>
              <w:t>Version</w:t>
            </w:r>
          </w:p>
        </w:tc>
        <w:tc>
          <w:tcPr>
            <w:tcW w:w="5954" w:type="dxa"/>
            <w:shd w:val="clear" w:color="auto" w:fill="F2F2F2" w:themeFill="background1" w:themeFillShade="F2"/>
            <w:vAlign w:val="center"/>
          </w:tcPr>
          <w:p w:rsidRPr="00BA1621" w:rsidR="007A0CB5" w:rsidP="001B548B" w:rsidRDefault="007A0CB5" w14:paraId="3FEFCE39" w14:textId="77777777">
            <w:pPr>
              <w:autoSpaceDE w:val="0"/>
              <w:autoSpaceDN w:val="0"/>
              <w:adjustRightInd w:val="0"/>
              <w:jc w:val="both"/>
              <w:rPr>
                <w:rFonts w:eastAsia="Times New Roman" w:cs="Arial"/>
                <w:color w:val="808080" w:themeColor="background1" w:themeShade="80"/>
                <w:sz w:val="20"/>
                <w:szCs w:val="20"/>
                <w:lang w:eastAsia="en-GB"/>
              </w:rPr>
            </w:pPr>
            <w:r w:rsidRPr="00BA1621">
              <w:rPr>
                <w:rFonts w:eastAsia="Times New Roman" w:cs="Arial"/>
                <w:color w:val="808080" w:themeColor="background1" w:themeShade="80"/>
                <w:sz w:val="20"/>
                <w:szCs w:val="20"/>
                <w:lang w:eastAsia="en-GB"/>
              </w:rPr>
              <w:t>Reason for Change</w:t>
            </w:r>
          </w:p>
        </w:tc>
        <w:tc>
          <w:tcPr>
            <w:tcW w:w="1791" w:type="dxa"/>
            <w:shd w:val="clear" w:color="auto" w:fill="F2F2F2" w:themeFill="background1" w:themeFillShade="F2"/>
            <w:vAlign w:val="center"/>
          </w:tcPr>
          <w:p w:rsidRPr="00BA1621" w:rsidR="007A0CB5" w:rsidP="001B548B" w:rsidRDefault="007A0CB5" w14:paraId="491072FA" w14:textId="77777777">
            <w:pPr>
              <w:autoSpaceDE w:val="0"/>
              <w:autoSpaceDN w:val="0"/>
              <w:adjustRightInd w:val="0"/>
              <w:jc w:val="both"/>
              <w:rPr>
                <w:rFonts w:eastAsia="Times New Roman" w:cs="Arial"/>
                <w:color w:val="808080" w:themeColor="background1" w:themeShade="80"/>
                <w:sz w:val="20"/>
                <w:szCs w:val="20"/>
                <w:lang w:eastAsia="en-GB"/>
              </w:rPr>
            </w:pPr>
            <w:r w:rsidRPr="00BA1621">
              <w:rPr>
                <w:rFonts w:eastAsia="Times New Roman" w:cs="Arial"/>
                <w:color w:val="808080" w:themeColor="background1" w:themeShade="80"/>
                <w:sz w:val="20"/>
                <w:szCs w:val="20"/>
                <w:lang w:eastAsia="en-GB"/>
              </w:rPr>
              <w:t>Date</w:t>
            </w:r>
          </w:p>
        </w:tc>
      </w:tr>
      <w:tr w:rsidRPr="007A0CB5" w:rsidR="007A0CB5" w:rsidTr="004F67AA" w14:paraId="0E021B44" w14:textId="77777777">
        <w:trPr>
          <w:trHeight w:val="340"/>
        </w:trPr>
        <w:tc>
          <w:tcPr>
            <w:tcW w:w="1271" w:type="dxa"/>
          </w:tcPr>
          <w:p w:rsidRPr="00BA1621" w:rsidR="007A0CB5" w:rsidP="001B548B" w:rsidRDefault="00992ECB" w14:paraId="69D93E1F" w14:textId="77777777">
            <w:pPr>
              <w:autoSpaceDE w:val="0"/>
              <w:autoSpaceDN w:val="0"/>
              <w:adjustRightInd w:val="0"/>
              <w:jc w:val="both"/>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2.0</w:t>
            </w:r>
          </w:p>
        </w:tc>
        <w:tc>
          <w:tcPr>
            <w:tcW w:w="5954" w:type="dxa"/>
          </w:tcPr>
          <w:p w:rsidRPr="00BA1621" w:rsidR="007A0CB5" w:rsidP="00952704" w:rsidRDefault="00992ECB" w14:paraId="1AA8DDE6" w14:textId="77777777">
            <w:pPr>
              <w:autoSpaceDE w:val="0"/>
              <w:autoSpaceDN w:val="0"/>
              <w:adjustRightInd w:val="0"/>
              <w:jc w:val="both"/>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 xml:space="preserve">Document reformatted </w:t>
            </w:r>
          </w:p>
        </w:tc>
        <w:tc>
          <w:tcPr>
            <w:tcW w:w="1791" w:type="dxa"/>
          </w:tcPr>
          <w:p w:rsidRPr="00BA1621" w:rsidR="007A0CB5" w:rsidP="001B548B" w:rsidRDefault="00C336C9" w14:paraId="3F89EC23" w14:textId="77777777">
            <w:pPr>
              <w:autoSpaceDE w:val="0"/>
              <w:autoSpaceDN w:val="0"/>
              <w:adjustRightInd w:val="0"/>
              <w:jc w:val="both"/>
              <w:rPr>
                <w:rFonts w:eastAsia="Times New Roman" w:cs="Arial"/>
                <w:color w:val="808080" w:themeColor="background1" w:themeShade="80"/>
                <w:sz w:val="18"/>
                <w:szCs w:val="18"/>
                <w:lang w:eastAsia="en-GB"/>
              </w:rPr>
            </w:pPr>
            <w:r>
              <w:rPr>
                <w:rFonts w:eastAsia="Times New Roman" w:cs="Arial"/>
                <w:color w:val="808080" w:themeColor="background1" w:themeShade="80"/>
                <w:sz w:val="18"/>
                <w:szCs w:val="18"/>
                <w:lang w:eastAsia="en-GB"/>
              </w:rPr>
              <w:t>M</w:t>
            </w:r>
            <w:r w:rsidR="00952704">
              <w:rPr>
                <w:rFonts w:eastAsia="Times New Roman" w:cs="Arial"/>
                <w:color w:val="808080" w:themeColor="background1" w:themeShade="80"/>
                <w:sz w:val="18"/>
                <w:szCs w:val="18"/>
                <w:lang w:eastAsia="en-GB"/>
              </w:rPr>
              <w:t>arch 2019</w:t>
            </w:r>
          </w:p>
        </w:tc>
      </w:tr>
      <w:tr w:rsidRPr="007A0CB5" w:rsidR="007A0CB5" w:rsidTr="004F67AA" w14:paraId="53128261" w14:textId="77777777">
        <w:trPr>
          <w:trHeight w:val="340"/>
        </w:trPr>
        <w:tc>
          <w:tcPr>
            <w:tcW w:w="1271" w:type="dxa"/>
          </w:tcPr>
          <w:p w:rsidRPr="00BA1621" w:rsidR="007A0CB5" w:rsidP="001B548B" w:rsidRDefault="007A0CB5" w14:paraId="62486C05" w14:textId="77777777">
            <w:pPr>
              <w:autoSpaceDE w:val="0"/>
              <w:autoSpaceDN w:val="0"/>
              <w:adjustRightInd w:val="0"/>
              <w:jc w:val="both"/>
              <w:rPr>
                <w:rFonts w:eastAsia="Times New Roman" w:cs="Arial"/>
                <w:color w:val="808080" w:themeColor="background1" w:themeShade="80"/>
                <w:sz w:val="18"/>
                <w:szCs w:val="18"/>
                <w:lang w:eastAsia="en-GB"/>
              </w:rPr>
            </w:pPr>
          </w:p>
        </w:tc>
        <w:tc>
          <w:tcPr>
            <w:tcW w:w="5954" w:type="dxa"/>
          </w:tcPr>
          <w:p w:rsidRPr="00BA1621" w:rsidR="007A0CB5" w:rsidP="001B548B" w:rsidRDefault="007A0CB5" w14:paraId="4101652C" w14:textId="77777777">
            <w:pPr>
              <w:autoSpaceDE w:val="0"/>
              <w:autoSpaceDN w:val="0"/>
              <w:adjustRightInd w:val="0"/>
              <w:jc w:val="both"/>
              <w:rPr>
                <w:rFonts w:eastAsia="Times New Roman" w:cs="Arial"/>
                <w:color w:val="808080" w:themeColor="background1" w:themeShade="80"/>
                <w:sz w:val="18"/>
                <w:szCs w:val="18"/>
                <w:lang w:eastAsia="en-GB"/>
              </w:rPr>
            </w:pPr>
          </w:p>
        </w:tc>
        <w:tc>
          <w:tcPr>
            <w:tcW w:w="1791" w:type="dxa"/>
          </w:tcPr>
          <w:p w:rsidRPr="00BA1621" w:rsidR="007A0CB5" w:rsidP="001B548B" w:rsidRDefault="007A0CB5" w14:paraId="4B99056E" w14:textId="77777777">
            <w:pPr>
              <w:autoSpaceDE w:val="0"/>
              <w:autoSpaceDN w:val="0"/>
              <w:adjustRightInd w:val="0"/>
              <w:jc w:val="both"/>
              <w:rPr>
                <w:rFonts w:eastAsia="Times New Roman" w:cs="Arial"/>
                <w:color w:val="808080" w:themeColor="background1" w:themeShade="80"/>
                <w:sz w:val="18"/>
                <w:szCs w:val="18"/>
                <w:lang w:eastAsia="en-GB"/>
              </w:rPr>
            </w:pPr>
          </w:p>
        </w:tc>
      </w:tr>
    </w:tbl>
    <w:p w:rsidRPr="00A5286F" w:rsidR="00235D17" w:rsidP="001B548B" w:rsidRDefault="00235D17" w14:paraId="1299C43A" w14:textId="77777777">
      <w:pPr>
        <w:jc w:val="both"/>
        <w:rPr>
          <w:rFonts w:asciiTheme="minorHAnsi" w:hAnsiTheme="minorHAnsi"/>
        </w:rPr>
        <w:sectPr w:rsidRPr="00A5286F" w:rsidR="00235D17" w:rsidSect="00337C37">
          <w:headerReference w:type="even" r:id="rId11"/>
          <w:headerReference w:type="default" r:id="rId12"/>
          <w:footerReference w:type="even" r:id="rId13"/>
          <w:footerReference w:type="default" r:id="rId14"/>
          <w:headerReference w:type="first" r:id="rId15"/>
          <w:footerReference w:type="first" r:id="rId16"/>
          <w:type w:val="continuous"/>
          <w:pgSz w:w="11906" w:h="16838" w:orient="portrait"/>
          <w:pgMar w:top="1440" w:right="1440" w:bottom="1440" w:left="1440" w:header="1134" w:footer="708" w:gutter="0"/>
          <w:cols w:space="708"/>
          <w:titlePg/>
          <w:docGrid w:linePitch="360"/>
        </w:sectPr>
      </w:pPr>
    </w:p>
    <w:p w:rsidR="00DF440E" w:rsidP="00DD260B" w:rsidRDefault="00DF440E" w14:paraId="4DDBEF00" w14:textId="77777777">
      <w:pPr>
        <w:keepLines/>
        <w:widowControl w:val="0"/>
        <w:spacing w:after="0" w:line="240" w:lineRule="auto"/>
        <w:jc w:val="both"/>
        <w:rPr>
          <w:rFonts w:cs="Calibri" w:asciiTheme="minorHAnsi" w:hAnsiTheme="minorHAnsi"/>
          <w:b/>
        </w:rPr>
      </w:pPr>
    </w:p>
    <w:sectPr w:rsidR="00DF440E" w:rsidSect="00337C37">
      <w:footerReference w:type="default" r:id="rId17"/>
      <w:headerReference w:type="first" r:id="rId18"/>
      <w:footerReference w:type="first" r:id="rId19"/>
      <w:type w:val="continuous"/>
      <w:pgSz w:w="11906" w:h="16838" w:orient="portrait"/>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898" w:rsidP="001625E1" w:rsidRDefault="00D03898" w14:paraId="10B527D7" w14:textId="77777777">
      <w:pPr>
        <w:spacing w:after="0" w:line="240" w:lineRule="auto"/>
      </w:pPr>
      <w:r>
        <w:separator/>
      </w:r>
    </w:p>
  </w:endnote>
  <w:endnote w:type="continuationSeparator" w:id="0">
    <w:p w:rsidR="00D03898" w:rsidP="001625E1" w:rsidRDefault="00D03898" w14:paraId="1CDB47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C7A" w:rsidRDefault="00C53C7A" w14:paraId="62EBF3C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936408"/>
      <w:docPartObj>
        <w:docPartGallery w:val="Page Numbers (Bottom of Page)"/>
        <w:docPartUnique/>
      </w:docPartObj>
    </w:sdtPr>
    <w:sdtEndPr>
      <w:rPr>
        <w:noProof/>
        <w:sz w:val="16"/>
        <w:szCs w:val="16"/>
      </w:rPr>
    </w:sdtEndPr>
    <w:sdtContent>
      <w:sdt>
        <w:sdtPr>
          <w:id w:val="1492603490"/>
          <w:docPartObj>
            <w:docPartGallery w:val="Page Numbers (Bottom of Page)"/>
            <w:docPartUnique/>
          </w:docPartObj>
        </w:sdtPr>
        <w:sdtEndPr>
          <w:rPr>
            <w:noProof/>
          </w:rPr>
        </w:sdtEndPr>
        <w:sdtContent>
          <w:p w:rsidRPr="00235D17" w:rsidR="00B1399E" w:rsidP="00974A08" w:rsidRDefault="00235D17" w14:paraId="74777BE2" w14:textId="77777777">
            <w:pPr>
              <w:pStyle w:val="Footer"/>
              <w:rPr>
                <w:noProof/>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sidR="000D3358">
              <w:rPr>
                <w:noProof/>
                <w:sz w:val="16"/>
                <w:szCs w:val="16"/>
              </w:rPr>
              <w:t>3</w:t>
            </w:r>
            <w:r w:rsidRPr="00235D17">
              <w:rPr>
                <w:noProof/>
                <w:sz w:val="16"/>
                <w:szCs w:val="16"/>
              </w:rPr>
              <w:fldChar w:fldCharType="end"/>
            </w:r>
            <w:r w:rsidRPr="00235D17">
              <w:rPr>
                <w:noProof/>
                <w:sz w:val="16"/>
                <w:szCs w:val="16"/>
              </w:rPr>
              <w:t xml:space="preserve">  </w:t>
            </w:r>
            <w:r>
              <w:rPr>
                <w:noProof/>
                <w:sz w:val="16"/>
                <w:szCs w:val="16"/>
              </w:rPr>
              <w:t xml:space="preserve">                          </w:t>
            </w:r>
            <w:r w:rsidR="00974A08">
              <w:rPr>
                <w:noProof/>
                <w:sz w:val="16"/>
                <w:szCs w:val="16"/>
              </w:rPr>
              <w:t xml:space="preserve">                                                 </w:t>
            </w:r>
            <w:r>
              <w:rPr>
                <w:noProof/>
                <w:sz w:val="16"/>
                <w:szCs w:val="16"/>
              </w:rPr>
              <w:t xml:space="preserve"> </w:t>
            </w:r>
            <w:r w:rsidR="00DD260B">
              <w:rPr>
                <w:noProof/>
                <w:sz w:val="16"/>
                <w:szCs w:val="16"/>
              </w:rPr>
              <w:t xml:space="preserve">                                                       </w:t>
            </w:r>
            <w:r w:rsidR="00224E90">
              <w:rPr>
                <w:noProof/>
                <w:sz w:val="16"/>
                <w:szCs w:val="16"/>
              </w:rPr>
              <w:t xml:space="preserve">   </w:t>
            </w:r>
            <w:r>
              <w:rPr>
                <w:noProof/>
                <w:sz w:val="16"/>
                <w:szCs w:val="16"/>
              </w:rPr>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B106BB">
              <w:rPr>
                <w:noProof/>
                <w:sz w:val="16"/>
                <w:szCs w:val="16"/>
              </w:rPr>
              <w:t>Scoping Document v2.docx</w:t>
            </w:r>
            <w:r w:rsidRPr="001625E1">
              <w:rPr>
                <w:noProof/>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5D17" w:rsidR="001625E1" w:rsidP="00DD260B" w:rsidRDefault="00235D17" w14:paraId="55153FA8" w14:textId="77777777">
    <w:pPr>
      <w:pStyle w:val="Footer"/>
      <w:rPr>
        <w:sz w:val="16"/>
        <w:szCs w:val="16"/>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sidR="000D3358">
      <w:rPr>
        <w:noProof/>
        <w:sz w:val="16"/>
        <w:szCs w:val="16"/>
      </w:rPr>
      <w:t>1</w:t>
    </w:r>
    <w:r w:rsidRPr="00235D17">
      <w:rPr>
        <w:noProof/>
        <w:sz w:val="16"/>
        <w:szCs w:val="16"/>
      </w:rPr>
      <w:fldChar w:fldCharType="end"/>
    </w:r>
    <w:r w:rsidRPr="00235D17">
      <w:rPr>
        <w:noProof/>
        <w:sz w:val="16"/>
        <w:szCs w:val="16"/>
      </w:rPr>
      <w:t xml:space="preserve">  </w:t>
    </w:r>
    <w:r>
      <w:rPr>
        <w:noProof/>
        <w:sz w:val="16"/>
        <w:szCs w:val="16"/>
      </w:rPr>
      <w:t xml:space="preserve">                                                                    </w:t>
    </w:r>
    <w:r w:rsidR="00974A08">
      <w:rPr>
        <w:noProof/>
        <w:sz w:val="16"/>
        <w:szCs w:val="16"/>
      </w:rPr>
      <w:t xml:space="preserve">     </w:t>
    </w:r>
    <w:r w:rsidR="00DD260B">
      <w:rPr>
        <w:noProof/>
        <w:sz w:val="16"/>
        <w:szCs w:val="16"/>
      </w:rPr>
      <w:t xml:space="preserve">                                                      </w:t>
    </w:r>
    <w:r w:rsidR="00974A08">
      <w:rPr>
        <w:noProof/>
        <w:sz w:val="16"/>
        <w:szCs w:val="16"/>
      </w:rPr>
      <w:t xml:space="preserve">   </w:t>
    </w:r>
    <w:r>
      <w:rPr>
        <w:noProof/>
        <w:sz w:val="16"/>
        <w:szCs w:val="16"/>
      </w:rPr>
      <w:t xml:space="preserve"> </w:t>
    </w:r>
    <w:r w:rsidR="00224E90">
      <w:rPr>
        <w:noProof/>
        <w:sz w:val="16"/>
        <w:szCs w:val="16"/>
      </w:rPr>
      <w:t xml:space="preserve">   </w:t>
    </w:r>
    <w:r w:rsidR="00DD260B">
      <w:rPr>
        <w:noProof/>
        <w:sz w:val="16"/>
        <w:szCs w:val="16"/>
      </w:rPr>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B106BB">
      <w:rPr>
        <w:noProof/>
        <w:sz w:val="16"/>
        <w:szCs w:val="16"/>
      </w:rPr>
      <w:t>Scoping Document v2.docx</w:t>
    </w:r>
    <w:r w:rsidRPr="001625E1">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519101"/>
      <w:docPartObj>
        <w:docPartGallery w:val="Page Numbers (Bottom of Page)"/>
        <w:docPartUnique/>
      </w:docPartObj>
    </w:sdtPr>
    <w:sdtEndPr>
      <w:rPr>
        <w:noProof/>
        <w:sz w:val="16"/>
        <w:szCs w:val="16"/>
      </w:rPr>
    </w:sdtEndPr>
    <w:sdtContent>
      <w:sdt>
        <w:sdtPr>
          <w:id w:val="-1411152957"/>
          <w:docPartObj>
            <w:docPartGallery w:val="Page Numbers (Bottom of Page)"/>
            <w:docPartUnique/>
          </w:docPartObj>
        </w:sdtPr>
        <w:sdtEndPr>
          <w:rPr>
            <w:noProof/>
          </w:rPr>
        </w:sdtEndPr>
        <w:sdtContent>
          <w:p w:rsidRPr="00235D17" w:rsidR="00974A08" w:rsidP="00974A08" w:rsidRDefault="00974A08" w14:paraId="5541A16E" w14:textId="77777777">
            <w:pPr>
              <w:pStyle w:val="Footer"/>
              <w:rPr>
                <w:noProof/>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sidR="0032241D">
              <w:rPr>
                <w:noProof/>
                <w:sz w:val="16"/>
                <w:szCs w:val="16"/>
              </w:rPr>
              <w:t>4</w:t>
            </w:r>
            <w:r w:rsidRPr="00235D17">
              <w:rPr>
                <w:noProof/>
                <w:sz w:val="16"/>
                <w:szCs w:val="16"/>
              </w:rPr>
              <w:fldChar w:fldCharType="end"/>
            </w:r>
            <w:r w:rsidRPr="00235D17">
              <w:rPr>
                <w:noProof/>
                <w:sz w:val="16"/>
                <w:szCs w:val="16"/>
              </w:rPr>
              <w:t xml:space="preserve">  </w:t>
            </w:r>
            <w:r>
              <w:rPr>
                <w:noProof/>
                <w:sz w:val="16"/>
                <w:szCs w:val="16"/>
              </w:rPr>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B106BB">
              <w:rPr>
                <w:noProof/>
                <w:sz w:val="16"/>
                <w:szCs w:val="16"/>
              </w:rPr>
              <w:t>Scoping Document v2.docx</w:t>
            </w:r>
            <w:r w:rsidRPr="001625E1">
              <w:rPr>
                <w:noProof/>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5D17" w:rsidR="00B17BBA" w:rsidP="00235D17" w:rsidRDefault="00B17BBA" w14:paraId="3F145D4B" w14:textId="77777777">
    <w:pPr>
      <w:pStyle w:val="Footer"/>
      <w:jc w:val="right"/>
      <w:rPr>
        <w:sz w:val="16"/>
        <w:szCs w:val="16"/>
      </w:rPr>
    </w:pPr>
    <w:r w:rsidRPr="00235D17">
      <w:rPr>
        <w:noProof/>
        <w:sz w:val="16"/>
        <w:szCs w:val="16"/>
      </w:rPr>
      <w:t xml:space="preserve">Page | </w:t>
    </w:r>
    <w:r w:rsidRPr="00235D17">
      <w:rPr>
        <w:noProof/>
        <w:sz w:val="16"/>
        <w:szCs w:val="16"/>
      </w:rPr>
      <w:fldChar w:fldCharType="begin"/>
    </w:r>
    <w:r w:rsidRPr="00235D17">
      <w:rPr>
        <w:noProof/>
        <w:sz w:val="16"/>
        <w:szCs w:val="16"/>
      </w:rPr>
      <w:instrText xml:space="preserve"> PAGE   \* MERGEFORMAT </w:instrText>
    </w:r>
    <w:r w:rsidRPr="00235D17">
      <w:rPr>
        <w:noProof/>
        <w:sz w:val="16"/>
        <w:szCs w:val="16"/>
      </w:rPr>
      <w:fldChar w:fldCharType="separate"/>
    </w:r>
    <w:r w:rsidR="00CA259C">
      <w:rPr>
        <w:noProof/>
        <w:sz w:val="16"/>
        <w:szCs w:val="16"/>
      </w:rPr>
      <w:t>4</w:t>
    </w:r>
    <w:r w:rsidRPr="00235D17">
      <w:rPr>
        <w:noProof/>
        <w:sz w:val="16"/>
        <w:szCs w:val="16"/>
      </w:rPr>
      <w:fldChar w:fldCharType="end"/>
    </w:r>
    <w:r w:rsidRPr="00235D17">
      <w:rPr>
        <w:noProof/>
        <w:sz w:val="16"/>
        <w:szCs w:val="16"/>
      </w:rPr>
      <w:t xml:space="preserve">  </w:t>
    </w:r>
    <w:r>
      <w:rPr>
        <w:noProof/>
        <w:sz w:val="16"/>
        <w:szCs w:val="16"/>
      </w:rPr>
      <w:t xml:space="preserve">                                                                                                                                                                                   </w:t>
    </w:r>
    <w:r w:rsidR="00974A08">
      <w:rPr>
        <w:noProof/>
        <w:sz w:val="16"/>
        <w:szCs w:val="16"/>
      </w:rPr>
      <w:t xml:space="preserve">        </w:t>
    </w:r>
    <w:r>
      <w:rPr>
        <w:noProof/>
        <w:sz w:val="16"/>
        <w:szCs w:val="16"/>
      </w:rPr>
      <w:t xml:space="preserve">  </w:t>
    </w:r>
    <w:r w:rsidRPr="001625E1">
      <w:rPr>
        <w:noProof/>
        <w:sz w:val="16"/>
        <w:szCs w:val="16"/>
      </w:rPr>
      <w:fldChar w:fldCharType="begin"/>
    </w:r>
    <w:r w:rsidRPr="001625E1">
      <w:rPr>
        <w:noProof/>
        <w:sz w:val="16"/>
        <w:szCs w:val="16"/>
      </w:rPr>
      <w:instrText xml:space="preserve"> FILENAME \* MERGEFORMAT </w:instrText>
    </w:r>
    <w:r w:rsidRPr="001625E1">
      <w:rPr>
        <w:noProof/>
        <w:sz w:val="16"/>
        <w:szCs w:val="16"/>
      </w:rPr>
      <w:fldChar w:fldCharType="separate"/>
    </w:r>
    <w:r w:rsidR="00B106BB">
      <w:rPr>
        <w:noProof/>
        <w:sz w:val="16"/>
        <w:szCs w:val="16"/>
      </w:rPr>
      <w:t>Scoping Document v2.docx</w:t>
    </w:r>
    <w:r w:rsidRPr="001625E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898" w:rsidP="001625E1" w:rsidRDefault="00D03898" w14:paraId="55F4C5BD" w14:textId="77777777">
      <w:pPr>
        <w:spacing w:after="0" w:line="240" w:lineRule="auto"/>
      </w:pPr>
      <w:r>
        <w:separator/>
      </w:r>
    </w:p>
  </w:footnote>
  <w:footnote w:type="continuationSeparator" w:id="0">
    <w:p w:rsidR="00D03898" w:rsidP="001625E1" w:rsidRDefault="00D03898" w14:paraId="449B59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C7A" w:rsidRDefault="00C53C7A" w14:paraId="3461D7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C7A" w:rsidRDefault="00C53C7A" w14:paraId="6D98A1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37C37" w:rsidR="00235D17" w:rsidP="00337C37" w:rsidRDefault="00DB1444" w14:paraId="5160759D" w14:textId="77777777">
    <w:pPr>
      <w:pStyle w:val="Heading1"/>
    </w:pPr>
    <w:r>
      <w:rPr>
        <w:rStyle w:val="Heading1Char"/>
        <w:b/>
      </w:rPr>
      <w:t>Context</w:t>
    </w:r>
    <w:r w:rsidR="001B548B">
      <w:rPr>
        <w:rStyle w:val="Heading1Char"/>
        <w:b/>
      </w:rPr>
      <w:t xml:space="preserve"> of the University    </w:t>
    </w:r>
    <w:r w:rsidRPr="00337C37" w:rsidR="00235D17">
      <w:rPr>
        <w:noProof/>
        <w:lang w:eastAsia="en-GB"/>
      </w:rPr>
      <w:drawing>
        <wp:inline distT="0" distB="0" distL="0" distR="0" wp14:anchorId="5C84F670" wp14:editId="73EF077E">
          <wp:extent cx="2095500" cy="5156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515620"/>
                  </a:xfrm>
                  <a:prstGeom prst="rect">
                    <a:avLst/>
                  </a:prstGeom>
                </pic:spPr>
              </pic:pic>
            </a:graphicData>
          </a:graphic>
        </wp:inline>
      </w:drawing>
    </w:r>
    <w:r w:rsidRPr="00337C37" w:rsidR="00235D17">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5D17" w:rsidR="00235D17" w:rsidP="00235D17" w:rsidRDefault="00235D17" w14:paraId="34CE0A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EAB"/>
    <w:multiLevelType w:val="hybridMultilevel"/>
    <w:tmpl w:val="7E40F328"/>
    <w:lvl w:ilvl="0" w:tplc="08090019">
      <w:start w:val="1"/>
      <w:numFmt w:val="lowerLetter"/>
      <w:lvlText w:val="%1."/>
      <w:lvlJc w:val="left"/>
      <w:pPr>
        <w:ind w:left="720" w:hanging="360"/>
      </w:pPr>
      <w:rPr>
        <w:rFonts w:hint="default"/>
      </w:rPr>
    </w:lvl>
    <w:lvl w:ilvl="1" w:tplc="DAF2FF7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172A3"/>
    <w:multiLevelType w:val="hybridMultilevel"/>
    <w:tmpl w:val="5C42C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E5CBF"/>
    <w:multiLevelType w:val="hybridMultilevel"/>
    <w:tmpl w:val="BC36D8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9A1BC7"/>
    <w:multiLevelType w:val="hybridMultilevel"/>
    <w:tmpl w:val="D4D6B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922627"/>
    <w:multiLevelType w:val="hybridMultilevel"/>
    <w:tmpl w:val="E4067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C6925"/>
    <w:multiLevelType w:val="hybridMultilevel"/>
    <w:tmpl w:val="9C7A84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236873FD"/>
    <w:multiLevelType w:val="multilevel"/>
    <w:tmpl w:val="6A2C8C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05D77"/>
    <w:multiLevelType w:val="hybridMultilevel"/>
    <w:tmpl w:val="C3CAC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F33FE"/>
    <w:multiLevelType w:val="hybridMultilevel"/>
    <w:tmpl w:val="D87CC4F2"/>
    <w:lvl w:ilvl="0" w:tplc="06B21478">
      <w:start w:val="1"/>
      <w:numFmt w:val="lowerRoman"/>
      <w:lvlText w:val="%1)"/>
      <w:lvlJc w:val="right"/>
      <w:pPr>
        <w:ind w:left="1440" w:hanging="360"/>
      </w:pPr>
      <w:rPr>
        <w:rFonts w:hint="default"/>
      </w:rPr>
    </w:lvl>
    <w:lvl w:ilvl="1" w:tplc="06B21478">
      <w:start w:val="1"/>
      <w:numFmt w:val="lowerRoman"/>
      <w:lvlText w:val="%2)"/>
      <w:lvlJc w:val="righ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0A4313"/>
    <w:multiLevelType w:val="hybridMultilevel"/>
    <w:tmpl w:val="6E0074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C972B40"/>
    <w:multiLevelType w:val="hybridMultilevel"/>
    <w:tmpl w:val="15A246A6"/>
    <w:lvl w:ilvl="0" w:tplc="08090001">
      <w:start w:val="1"/>
      <w:numFmt w:val="bullet"/>
      <w:lvlText w:val=""/>
      <w:lvlJc w:val="left"/>
      <w:pPr>
        <w:ind w:left="720" w:hanging="360"/>
      </w:pPr>
      <w:rPr>
        <w:rFonts w:hint="default" w:ascii="Symbol" w:hAnsi="Symbol"/>
      </w:rPr>
    </w:lvl>
    <w:lvl w:ilvl="1" w:tplc="99FE0E98">
      <w:start w:val="4"/>
      <w:numFmt w:val="bullet"/>
      <w:lvlText w:val="•"/>
      <w:lvlJc w:val="left"/>
      <w:pPr>
        <w:ind w:left="1800" w:hanging="720"/>
      </w:pPr>
      <w:rPr>
        <w:rFonts w:hint="default" w:ascii="Century Gothic" w:hAnsi="Century Gothic"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08614DD"/>
    <w:multiLevelType w:val="multilevel"/>
    <w:tmpl w:val="79286CDE"/>
    <w:lvl w:ilvl="0">
      <w:start w:val="1"/>
      <w:numFmt w:val="decimal"/>
      <w:pStyle w:val="Heading2"/>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6B2E5E"/>
    <w:multiLevelType w:val="hybridMultilevel"/>
    <w:tmpl w:val="E242C01C"/>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5CF50B2"/>
    <w:multiLevelType w:val="hybridMultilevel"/>
    <w:tmpl w:val="01CAEEEA"/>
    <w:lvl w:ilvl="0" w:tplc="06B21478">
      <w:start w:val="1"/>
      <w:numFmt w:val="lowerRoman"/>
      <w:lvlText w:val="%1)"/>
      <w:lvlJc w:val="right"/>
      <w:pPr>
        <w:ind w:left="1440" w:hanging="360"/>
      </w:pPr>
      <w:rPr>
        <w:rFonts w:hint="default"/>
      </w:rPr>
    </w:lvl>
    <w:lvl w:ilvl="1" w:tplc="06B21478">
      <w:start w:val="1"/>
      <w:numFmt w:val="lowerRoman"/>
      <w:lvlText w:val="%2)"/>
      <w:lvlJc w:val="righ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904AB9"/>
    <w:multiLevelType w:val="hybridMultilevel"/>
    <w:tmpl w:val="DF36C9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E313B5E"/>
    <w:multiLevelType w:val="hybridMultilevel"/>
    <w:tmpl w:val="6E9E07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D45E45"/>
    <w:multiLevelType w:val="hybridMultilevel"/>
    <w:tmpl w:val="83BC5C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D34FCA"/>
    <w:multiLevelType w:val="hybridMultilevel"/>
    <w:tmpl w:val="96C8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AB3BE6"/>
    <w:multiLevelType w:val="hybridMultilevel"/>
    <w:tmpl w:val="4EE4F0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813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5449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16"/>
  </w:num>
  <w:num w:numId="4">
    <w:abstractNumId w:val="14"/>
  </w:num>
  <w:num w:numId="5">
    <w:abstractNumId w:val="19"/>
  </w:num>
  <w:num w:numId="6">
    <w:abstractNumId w:val="17"/>
  </w:num>
  <w:num w:numId="7">
    <w:abstractNumId w:val="7"/>
  </w:num>
  <w:num w:numId="8">
    <w:abstractNumId w:val="6"/>
  </w:num>
  <w:num w:numId="9">
    <w:abstractNumId w:val="10"/>
  </w:num>
  <w:num w:numId="10">
    <w:abstractNumId w:val="8"/>
  </w:num>
  <w:num w:numId="11">
    <w:abstractNumId w:val="13"/>
  </w:num>
  <w:num w:numId="12">
    <w:abstractNumId w:val="4"/>
  </w:num>
  <w:num w:numId="13">
    <w:abstractNumId w:val="1"/>
  </w:num>
  <w:num w:numId="14">
    <w:abstractNumId w:val="12"/>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0"/>
  </w:num>
  <w:num w:numId="19">
    <w:abstractNumId w:val="2"/>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E1"/>
    <w:rsid w:val="00007939"/>
    <w:rsid w:val="00044B64"/>
    <w:rsid w:val="000530CC"/>
    <w:rsid w:val="00060BCA"/>
    <w:rsid w:val="00072CE6"/>
    <w:rsid w:val="000D3358"/>
    <w:rsid w:val="001625E1"/>
    <w:rsid w:val="00176140"/>
    <w:rsid w:val="001900D9"/>
    <w:rsid w:val="001B548B"/>
    <w:rsid w:val="001E7B1D"/>
    <w:rsid w:val="00224E90"/>
    <w:rsid w:val="00235D17"/>
    <w:rsid w:val="002716FC"/>
    <w:rsid w:val="0031719A"/>
    <w:rsid w:val="0032241D"/>
    <w:rsid w:val="00337C37"/>
    <w:rsid w:val="0040741A"/>
    <w:rsid w:val="00410B48"/>
    <w:rsid w:val="00410DF9"/>
    <w:rsid w:val="00413491"/>
    <w:rsid w:val="00416795"/>
    <w:rsid w:val="00437C6B"/>
    <w:rsid w:val="00443A51"/>
    <w:rsid w:val="00462CD7"/>
    <w:rsid w:val="00465F62"/>
    <w:rsid w:val="00486007"/>
    <w:rsid w:val="004E25D6"/>
    <w:rsid w:val="004F67AA"/>
    <w:rsid w:val="005640AA"/>
    <w:rsid w:val="005C36FB"/>
    <w:rsid w:val="005C7DD1"/>
    <w:rsid w:val="006007B4"/>
    <w:rsid w:val="006335ED"/>
    <w:rsid w:val="00636D5B"/>
    <w:rsid w:val="00643FE9"/>
    <w:rsid w:val="006513F0"/>
    <w:rsid w:val="0066529B"/>
    <w:rsid w:val="006850A3"/>
    <w:rsid w:val="00686214"/>
    <w:rsid w:val="006A5273"/>
    <w:rsid w:val="00713C94"/>
    <w:rsid w:val="0072534A"/>
    <w:rsid w:val="0073D371"/>
    <w:rsid w:val="00774D66"/>
    <w:rsid w:val="007839EC"/>
    <w:rsid w:val="007A0CB5"/>
    <w:rsid w:val="00834C36"/>
    <w:rsid w:val="00836607"/>
    <w:rsid w:val="0085083F"/>
    <w:rsid w:val="00884D06"/>
    <w:rsid w:val="008A4D59"/>
    <w:rsid w:val="00916999"/>
    <w:rsid w:val="00952704"/>
    <w:rsid w:val="00974A08"/>
    <w:rsid w:val="0098776F"/>
    <w:rsid w:val="00992ECB"/>
    <w:rsid w:val="009F6058"/>
    <w:rsid w:val="00A5286F"/>
    <w:rsid w:val="00A92328"/>
    <w:rsid w:val="00A93B31"/>
    <w:rsid w:val="00AA2E32"/>
    <w:rsid w:val="00AC62E8"/>
    <w:rsid w:val="00B03867"/>
    <w:rsid w:val="00B106BB"/>
    <w:rsid w:val="00B1399E"/>
    <w:rsid w:val="00B17BBA"/>
    <w:rsid w:val="00B3484F"/>
    <w:rsid w:val="00BA1621"/>
    <w:rsid w:val="00BB7463"/>
    <w:rsid w:val="00C1088A"/>
    <w:rsid w:val="00C336C9"/>
    <w:rsid w:val="00C53C7A"/>
    <w:rsid w:val="00C8455B"/>
    <w:rsid w:val="00CA259C"/>
    <w:rsid w:val="00CB7A71"/>
    <w:rsid w:val="00CD3E66"/>
    <w:rsid w:val="00D03898"/>
    <w:rsid w:val="00D06670"/>
    <w:rsid w:val="00D1298A"/>
    <w:rsid w:val="00D66288"/>
    <w:rsid w:val="00D72BA7"/>
    <w:rsid w:val="00D86702"/>
    <w:rsid w:val="00DB1444"/>
    <w:rsid w:val="00DD260B"/>
    <w:rsid w:val="00DF440E"/>
    <w:rsid w:val="00E07A8C"/>
    <w:rsid w:val="00E2253F"/>
    <w:rsid w:val="00E551A1"/>
    <w:rsid w:val="00E76D7C"/>
    <w:rsid w:val="00E93FBC"/>
    <w:rsid w:val="00EE651D"/>
    <w:rsid w:val="00F171F2"/>
    <w:rsid w:val="00F57EA7"/>
    <w:rsid w:val="00FA12A3"/>
    <w:rsid w:val="00FC0E6E"/>
    <w:rsid w:val="00FC3EEB"/>
    <w:rsid w:val="00FD171F"/>
    <w:rsid w:val="00FD4891"/>
    <w:rsid w:val="00FD7EA0"/>
    <w:rsid w:val="00FF2E3C"/>
    <w:rsid w:val="155C0FF1"/>
    <w:rsid w:val="1FD95B21"/>
    <w:rsid w:val="271BBA46"/>
    <w:rsid w:val="638B8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0683B"/>
  <w15:chartTrackingRefBased/>
  <w15:docId w15:val="{254C7002-307F-4BF5-A2EC-CD253C7C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7C37"/>
    <w:rPr>
      <w:rFonts w:ascii="Century Gothic" w:hAnsi="Century Gothic"/>
    </w:rPr>
  </w:style>
  <w:style w:type="paragraph" w:styleId="Heading1">
    <w:name w:val="heading 1"/>
    <w:basedOn w:val="Normal"/>
    <w:next w:val="Normal"/>
    <w:link w:val="Heading1Char"/>
    <w:uiPriority w:val="9"/>
    <w:qFormat/>
    <w:rsid w:val="00337C37"/>
    <w:pPr>
      <w:keepNext/>
      <w:keepLines/>
      <w:pBdr>
        <w:bottom w:val="single" w:color="1F3864" w:themeColor="accent5" w:themeShade="80" w:sz="4" w:space="1"/>
      </w:pBdr>
      <w:spacing w:after="0"/>
      <w:outlineLvl w:val="0"/>
    </w:pPr>
    <w:rPr>
      <w:rFonts w:eastAsiaTheme="majorEastAsia" w:cstheme="majorBidi"/>
      <w:b/>
      <w:color w:val="002060"/>
      <w:sz w:val="44"/>
      <w:szCs w:val="44"/>
    </w:rPr>
  </w:style>
  <w:style w:type="paragraph" w:styleId="Heading2">
    <w:name w:val="heading 2"/>
    <w:basedOn w:val="Normal"/>
    <w:next w:val="Normal"/>
    <w:link w:val="Heading2Char"/>
    <w:uiPriority w:val="9"/>
    <w:unhideWhenUsed/>
    <w:qFormat/>
    <w:rsid w:val="00337C37"/>
    <w:pPr>
      <w:numPr>
        <w:numId w:val="1"/>
      </w:numPr>
      <w:spacing w:after="200" w:line="276" w:lineRule="auto"/>
      <w:ind w:left="284" w:hanging="284"/>
      <w:jc w:val="both"/>
      <w:outlineLvl w:val="1"/>
    </w:pPr>
    <w:rPr>
      <w:rFonts w:eastAsia="Calibri" w:cs="Times New Roman"/>
      <w:b/>
      <w:iCs/>
      <w:color w:val="002060"/>
      <w:spacing w:val="15"/>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625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5E1"/>
  </w:style>
  <w:style w:type="paragraph" w:styleId="Footer">
    <w:name w:val="footer"/>
    <w:basedOn w:val="Normal"/>
    <w:link w:val="FooterChar"/>
    <w:uiPriority w:val="99"/>
    <w:unhideWhenUsed/>
    <w:rsid w:val="001625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5E1"/>
  </w:style>
  <w:style w:type="paragraph" w:styleId="ListParagraph">
    <w:name w:val="List Paragraph"/>
    <w:basedOn w:val="Normal"/>
    <w:uiPriority w:val="34"/>
    <w:qFormat/>
    <w:rsid w:val="00416795"/>
    <w:pPr>
      <w:ind w:left="720"/>
      <w:contextualSpacing/>
    </w:pPr>
  </w:style>
  <w:style w:type="table" w:styleId="TableGrid">
    <w:name w:val="Table Grid"/>
    <w:basedOn w:val="TableNormal"/>
    <w:uiPriority w:val="39"/>
    <w:rsid w:val="007A0C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00D9"/>
    <w:rPr>
      <w:color w:val="0563C1" w:themeColor="hyperlink"/>
      <w:u w:val="single"/>
    </w:rPr>
  </w:style>
  <w:style w:type="paragraph" w:styleId="BalloonText">
    <w:name w:val="Balloon Text"/>
    <w:basedOn w:val="Normal"/>
    <w:link w:val="BalloonTextChar"/>
    <w:uiPriority w:val="99"/>
    <w:semiHidden/>
    <w:unhideWhenUsed/>
    <w:rsid w:val="004F67A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67AA"/>
    <w:rPr>
      <w:rFonts w:ascii="Segoe UI" w:hAnsi="Segoe UI" w:cs="Segoe UI"/>
      <w:sz w:val="18"/>
      <w:szCs w:val="18"/>
    </w:rPr>
  </w:style>
  <w:style w:type="character" w:styleId="Heading1Char" w:customStyle="1">
    <w:name w:val="Heading 1 Char"/>
    <w:basedOn w:val="DefaultParagraphFont"/>
    <w:link w:val="Heading1"/>
    <w:uiPriority w:val="9"/>
    <w:rsid w:val="00337C37"/>
    <w:rPr>
      <w:rFonts w:ascii="Century Gothic" w:hAnsi="Century Gothic" w:eastAsiaTheme="majorEastAsia" w:cstheme="majorBidi"/>
      <w:b/>
      <w:color w:val="002060"/>
      <w:sz w:val="44"/>
      <w:szCs w:val="44"/>
    </w:rPr>
  </w:style>
  <w:style w:type="character" w:styleId="Heading2Char" w:customStyle="1">
    <w:name w:val="Heading 2 Char"/>
    <w:basedOn w:val="DefaultParagraphFont"/>
    <w:link w:val="Heading2"/>
    <w:uiPriority w:val="9"/>
    <w:rsid w:val="00337C37"/>
    <w:rPr>
      <w:rFonts w:ascii="Century Gothic" w:hAnsi="Century Gothic" w:eastAsia="Calibri" w:cs="Times New Roman"/>
      <w:b/>
      <w:iCs/>
      <w:color w:val="002060"/>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44799">
      <w:bodyDiv w:val="1"/>
      <w:marLeft w:val="0"/>
      <w:marRight w:val="0"/>
      <w:marTop w:val="0"/>
      <w:marBottom w:val="0"/>
      <w:divBdr>
        <w:top w:val="none" w:sz="0" w:space="0" w:color="auto"/>
        <w:left w:val="none" w:sz="0" w:space="0" w:color="auto"/>
        <w:bottom w:val="none" w:sz="0" w:space="0" w:color="auto"/>
        <w:right w:val="none" w:sz="0" w:space="0" w:color="auto"/>
      </w:divBdr>
    </w:div>
    <w:div w:id="11211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er" Target="foot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71c5b93d3fa3409e"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81fa1a-cbb6-4457-bd6a-19f9cfefa869}"/>
      </w:docPartPr>
      <w:docPartBody>
        <w:p w14:paraId="528680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ADB24304809034090EC22848133BFFF" ma:contentTypeVersion="12" ma:contentTypeDescription="Create a new document." ma:contentTypeScope="" ma:versionID="05efd9a6d5f5e0530bf920a9f520e85d">
  <xsd:schema xmlns:xsd="http://www.w3.org/2001/XMLSchema" xmlns:xs="http://www.w3.org/2001/XMLSchema" xmlns:p="http://schemas.microsoft.com/office/2006/metadata/properties" xmlns:ns2="a81e587d-0a53-4cba-a858-80bbb65bf54d" xmlns:ns3="639dd234-d832-4298-90ca-982ac4bcfaf0" targetNamespace="http://schemas.microsoft.com/office/2006/metadata/properties" ma:root="true" ma:fieldsID="18afa6ed2bcc3205e9dcda96c28afa32" ns2:_="" ns3:_="">
    <xsd:import namespace="a81e587d-0a53-4cba-a858-80bbb65bf54d"/>
    <xsd:import namespace="639dd234-d832-4298-90ca-982ac4bcfa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e587d-0a53-4cba-a858-80bbb65bf5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dd234-d832-4298-90ca-982ac4bcfa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b2cd950-d23c-492c-a2c7-3727dceddaa7}" ma:internalName="TaxCatchAll" ma:showField="CatchAllData" ma:web="639dd234-d832-4298-90ca-982ac4bcfa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1e587d-0a53-4cba-a858-80bbb65bf54d">
      <Terms xmlns="http://schemas.microsoft.com/office/infopath/2007/PartnerControls"/>
    </lcf76f155ced4ddcb4097134ff3c332f>
    <TaxCatchAll xmlns="639dd234-d832-4298-90ca-982ac4bcfaf0" xsi:nil="true"/>
  </documentManagement>
</p:properties>
</file>

<file path=customXml/itemProps1.xml><?xml version="1.0" encoding="utf-8"?>
<ds:datastoreItem xmlns:ds="http://schemas.openxmlformats.org/officeDocument/2006/customXml" ds:itemID="{8106EB0C-A261-4F7A-AEE4-94A7B44ACBF9}">
  <ds:schemaRefs>
    <ds:schemaRef ds:uri="http://schemas.microsoft.com/sharepoint/v3/contenttype/forms"/>
  </ds:schemaRefs>
</ds:datastoreItem>
</file>

<file path=customXml/itemProps2.xml><?xml version="1.0" encoding="utf-8"?>
<ds:datastoreItem xmlns:ds="http://schemas.openxmlformats.org/officeDocument/2006/customXml" ds:itemID="{2CED9861-6D36-4B8D-AAF4-0CAE9C752A7E}">
  <ds:schemaRefs>
    <ds:schemaRef ds:uri="http://schemas.openxmlformats.org/officeDocument/2006/bibliography"/>
  </ds:schemaRefs>
</ds:datastoreItem>
</file>

<file path=customXml/itemProps3.xml><?xml version="1.0" encoding="utf-8"?>
<ds:datastoreItem xmlns:ds="http://schemas.openxmlformats.org/officeDocument/2006/customXml" ds:itemID="{C249027A-A54E-409B-93DE-3D82197A04BC}"/>
</file>

<file path=customXml/itemProps4.xml><?xml version="1.0" encoding="utf-8"?>
<ds:datastoreItem xmlns:ds="http://schemas.openxmlformats.org/officeDocument/2006/customXml" ds:itemID="{039C0842-7E74-4336-B23F-1D3F03B35CEF}">
  <ds:schemaRefs>
    <ds:schemaRef ds:uri="http://schemas.microsoft.com/office/2006/metadata/properties"/>
    <ds:schemaRef ds:uri="http://schemas.microsoft.com/office/infopath/2007/PartnerControls"/>
    <ds:schemaRef ds:uri="a81e587d-0a53-4cba-a858-80bbb65bf54d"/>
    <ds:schemaRef ds:uri="639dd234-d832-4298-90ca-982ac4bcfaf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Casey, Clare</dc:creator>
  <keywords/>
  <dc:description/>
  <lastModifiedBy>Sisodia Kate</lastModifiedBy>
  <revision>18</revision>
  <lastPrinted>2018-09-14T10:03:00.0000000Z</lastPrinted>
  <dcterms:created xsi:type="dcterms:W3CDTF">2017-11-16T11:14:00.0000000Z</dcterms:created>
  <dcterms:modified xsi:type="dcterms:W3CDTF">2023-06-28T10:26:22.6008263Z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0x0101007ADB24304809034090EC22848133BFFF</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