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FA" w:rsidRDefault="008F70FA" w:rsidP="008F70FA">
      <w:r>
        <w:rPr>
          <w:rFonts w:ascii="Verdana" w:hAnsi="Verdana"/>
          <w:iCs/>
          <w:noProof/>
          <w:lang w:eastAsia="en-GB"/>
        </w:rPr>
        <w:drawing>
          <wp:inline distT="0" distB="0" distL="0" distR="0" wp14:anchorId="36B8F99B" wp14:editId="714C7969">
            <wp:extent cx="2009775" cy="47413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2129" cy="495925"/>
                    </a:xfrm>
                    <a:prstGeom prst="rect">
                      <a:avLst/>
                    </a:prstGeom>
                    <a:noFill/>
                    <a:ln w="9525">
                      <a:noFill/>
                      <a:miter lim="800000"/>
                      <a:headEnd/>
                      <a:tailEnd/>
                    </a:ln>
                  </pic:spPr>
                </pic:pic>
              </a:graphicData>
            </a:graphic>
          </wp:inline>
        </w:drawing>
      </w:r>
    </w:p>
    <w:p w:rsidR="008F70FA" w:rsidRDefault="008F70FA" w:rsidP="008F70FA"/>
    <w:p w:rsidR="008F70FA" w:rsidRDefault="008F70FA" w:rsidP="008F70FA">
      <w:pPr>
        <w:jc w:val="center"/>
        <w:rPr>
          <w:rFonts w:ascii="Arial" w:hAnsi="Arial" w:cs="Arial"/>
          <w:b/>
          <w:sz w:val="24"/>
          <w:szCs w:val="24"/>
        </w:rPr>
      </w:pPr>
      <w:r w:rsidRPr="00112C13">
        <w:rPr>
          <w:rFonts w:ascii="Arial" w:hAnsi="Arial" w:cs="Arial"/>
          <w:b/>
          <w:sz w:val="24"/>
          <w:szCs w:val="24"/>
        </w:rPr>
        <w:t>SCHOOL OF THE ARTS</w:t>
      </w:r>
    </w:p>
    <w:p w:rsidR="002630A4" w:rsidRPr="00112C13" w:rsidRDefault="002630A4" w:rsidP="008F70FA">
      <w:pPr>
        <w:jc w:val="center"/>
        <w:rPr>
          <w:rFonts w:ascii="Arial" w:hAnsi="Arial" w:cs="Arial"/>
          <w:b/>
          <w:sz w:val="24"/>
          <w:szCs w:val="24"/>
        </w:rPr>
      </w:pPr>
      <w:r>
        <w:rPr>
          <w:rFonts w:ascii="Arial" w:hAnsi="Arial" w:cs="Arial"/>
          <w:b/>
          <w:sz w:val="24"/>
          <w:szCs w:val="24"/>
        </w:rPr>
        <w:t>MA Data, Science &amp; Communication (Full-time)</w:t>
      </w:r>
    </w:p>
    <w:p w:rsidR="008F70FA" w:rsidRPr="00D709F7" w:rsidRDefault="008F70FA" w:rsidP="008F70FA">
      <w:pPr>
        <w:autoSpaceDE w:val="0"/>
        <w:autoSpaceDN w:val="0"/>
        <w:adjustRightInd w:val="0"/>
        <w:spacing w:after="0" w:line="240" w:lineRule="auto"/>
        <w:jc w:val="center"/>
        <w:rPr>
          <w:rFonts w:ascii="Arial" w:eastAsia="Calibri" w:hAnsi="Arial" w:cs="Arial"/>
          <w:b/>
          <w:color w:val="000000"/>
          <w:sz w:val="24"/>
          <w:szCs w:val="24"/>
        </w:rPr>
      </w:pPr>
      <w:r w:rsidRPr="00D709F7">
        <w:rPr>
          <w:rFonts w:ascii="Arial" w:eastAsia="Calibri" w:hAnsi="Arial" w:cs="Arial"/>
          <w:b/>
          <w:color w:val="000000"/>
          <w:sz w:val="24"/>
          <w:szCs w:val="24"/>
        </w:rPr>
        <w:t xml:space="preserve">Registration </w:t>
      </w:r>
      <w:r>
        <w:rPr>
          <w:rFonts w:ascii="Arial" w:eastAsia="Calibri" w:hAnsi="Arial" w:cs="Arial"/>
          <w:b/>
          <w:color w:val="000000"/>
          <w:sz w:val="24"/>
          <w:szCs w:val="24"/>
        </w:rPr>
        <w:t xml:space="preserve"> </w:t>
      </w:r>
    </w:p>
    <w:p w:rsidR="008F70FA" w:rsidRPr="00D709F7" w:rsidRDefault="008F70FA" w:rsidP="008F70FA">
      <w:pPr>
        <w:autoSpaceDE w:val="0"/>
        <w:autoSpaceDN w:val="0"/>
        <w:adjustRightInd w:val="0"/>
        <w:spacing w:after="0" w:line="240" w:lineRule="auto"/>
        <w:jc w:val="center"/>
        <w:rPr>
          <w:rFonts w:ascii="Arial" w:eastAsia="Calibri" w:hAnsi="Arial" w:cs="Arial"/>
          <w:b/>
          <w:color w:val="000000"/>
          <w:sz w:val="24"/>
          <w:szCs w:val="24"/>
        </w:rPr>
      </w:pPr>
    </w:p>
    <w:p w:rsidR="008F70FA" w:rsidRPr="00D709F7" w:rsidRDefault="008F70FA" w:rsidP="008F70FA">
      <w:pPr>
        <w:autoSpaceDE w:val="0"/>
        <w:autoSpaceDN w:val="0"/>
        <w:adjustRightInd w:val="0"/>
        <w:spacing w:after="0" w:line="240" w:lineRule="auto"/>
        <w:jc w:val="center"/>
        <w:rPr>
          <w:rFonts w:ascii="Arial" w:eastAsia="Calibri" w:hAnsi="Arial" w:cs="Arial"/>
          <w:b/>
          <w:color w:val="000000"/>
          <w:sz w:val="28"/>
          <w:szCs w:val="28"/>
        </w:rPr>
      </w:pPr>
      <w:r>
        <w:rPr>
          <w:rFonts w:ascii="Arial" w:eastAsia="Calibri" w:hAnsi="Arial" w:cs="Arial"/>
          <w:b/>
          <w:color w:val="000000"/>
          <w:sz w:val="24"/>
          <w:szCs w:val="24"/>
        </w:rPr>
        <w:t>2023-24</w:t>
      </w:r>
    </w:p>
    <w:p w:rsidR="008F70FA" w:rsidRPr="00D709F7" w:rsidRDefault="008F70FA" w:rsidP="008F70FA">
      <w:pPr>
        <w:autoSpaceDE w:val="0"/>
        <w:autoSpaceDN w:val="0"/>
        <w:adjustRightInd w:val="0"/>
        <w:spacing w:after="0" w:line="240" w:lineRule="auto"/>
        <w:jc w:val="center"/>
        <w:rPr>
          <w:rFonts w:ascii="Arial" w:eastAsia="Calibri" w:hAnsi="Arial" w:cs="Arial"/>
          <w:b/>
          <w:color w:val="000000"/>
          <w:sz w:val="28"/>
          <w:szCs w:val="28"/>
        </w:rPr>
      </w:pPr>
    </w:p>
    <w:p w:rsidR="008F70FA" w:rsidRPr="005A0A73" w:rsidRDefault="008F70FA" w:rsidP="008F70FA">
      <w:pPr>
        <w:autoSpaceDE w:val="0"/>
        <w:autoSpaceDN w:val="0"/>
        <w:adjustRightInd w:val="0"/>
        <w:spacing w:after="0" w:line="240" w:lineRule="auto"/>
        <w:jc w:val="center"/>
        <w:rPr>
          <w:rFonts w:ascii="Arial" w:eastAsia="Calibri" w:hAnsi="Arial" w:cs="Arial"/>
          <w:b/>
          <w:color w:val="000000"/>
        </w:rPr>
      </w:pPr>
    </w:p>
    <w:p w:rsidR="008F70FA" w:rsidRPr="005A0A73" w:rsidRDefault="008F70FA" w:rsidP="008F70FA">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You can only register for modules which are part of your programme and it is your responsibility to check that you have fulfilled any pre-requisite requirements. </w:t>
      </w:r>
    </w:p>
    <w:p w:rsidR="008F70FA" w:rsidRPr="005A0A73" w:rsidRDefault="008F70FA" w:rsidP="008F70FA">
      <w:pPr>
        <w:autoSpaceDE w:val="0"/>
        <w:autoSpaceDN w:val="0"/>
        <w:spacing w:after="0" w:line="240" w:lineRule="auto"/>
        <w:ind w:left="426"/>
        <w:contextualSpacing/>
        <w:jc w:val="both"/>
        <w:rPr>
          <w:rFonts w:ascii="Arial" w:eastAsia="Times New Roman" w:hAnsi="Arial" w:cs="Arial"/>
        </w:rPr>
      </w:pPr>
    </w:p>
    <w:p w:rsidR="008F70FA" w:rsidRPr="005A0A73" w:rsidRDefault="008F70FA" w:rsidP="008F70FA">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Module specifications can be found on the</w:t>
      </w:r>
      <w:r>
        <w:rPr>
          <w:rFonts w:ascii="Arial" w:eastAsia="Times New Roman" w:hAnsi="Arial" w:cs="Arial"/>
        </w:rPr>
        <w:t xml:space="preserve"> Communication &amp; Media</w:t>
      </w:r>
      <w:r w:rsidRPr="005A0A73">
        <w:rPr>
          <w:rFonts w:ascii="Arial" w:eastAsia="Times New Roman" w:hAnsi="Arial" w:cs="Arial"/>
        </w:rPr>
        <w:t xml:space="preserve"> webpage</w:t>
      </w:r>
      <w:r w:rsidRPr="005A0A73">
        <w:rPr>
          <w:rFonts w:ascii="Arial" w:eastAsia="Times New Roman" w:hAnsi="Arial" w:cs="Arial"/>
          <w:color w:val="FF0000"/>
        </w:rPr>
        <w:t xml:space="preserve"> </w:t>
      </w:r>
      <w:bookmarkStart w:id="0" w:name="_GoBack"/>
      <w:r w:rsidR="00DC7C05" w:rsidRPr="00DC7C05">
        <w:rPr>
          <w:rFonts w:ascii="Arial" w:hAnsi="Arial" w:cs="Arial"/>
        </w:rPr>
        <w:fldChar w:fldCharType="begin"/>
      </w:r>
      <w:r w:rsidR="00DC7C05" w:rsidRPr="00DC7C05">
        <w:rPr>
          <w:rFonts w:ascii="Arial" w:hAnsi="Arial" w:cs="Arial"/>
        </w:rPr>
        <w:instrText xml:space="preserve"> HYPERLINK "https://www.liverpool.ac.uk/intranet/school-of-the-arts/communication-and-media/ma-students/" </w:instrText>
      </w:r>
      <w:r w:rsidR="00DC7C05" w:rsidRPr="00DC7C05">
        <w:rPr>
          <w:rFonts w:ascii="Arial" w:hAnsi="Arial" w:cs="Arial"/>
        </w:rPr>
        <w:fldChar w:fldCharType="separate"/>
      </w:r>
      <w:r w:rsidR="00DC7C05" w:rsidRPr="00DC7C05">
        <w:rPr>
          <w:rStyle w:val="Hyperlink"/>
          <w:rFonts w:ascii="Arial" w:hAnsi="Arial" w:cs="Arial"/>
        </w:rPr>
        <w:t>MA Students - School of the Arts Intranet (Students) - University of Liverpool</w:t>
      </w:r>
      <w:r w:rsidR="00DC7C05" w:rsidRPr="00DC7C05">
        <w:rPr>
          <w:rFonts w:ascii="Arial" w:hAnsi="Arial" w:cs="Arial"/>
        </w:rPr>
        <w:fldChar w:fldCharType="end"/>
      </w:r>
      <w:bookmarkEnd w:id="0"/>
    </w:p>
    <w:p w:rsidR="008F70FA" w:rsidRPr="005A0A73" w:rsidRDefault="008F70FA" w:rsidP="008F70FA">
      <w:pPr>
        <w:pStyle w:val="ListParagraph"/>
        <w:rPr>
          <w:rFonts w:ascii="Arial" w:eastAsia="Times New Roman" w:hAnsi="Arial" w:cs="Arial"/>
        </w:rPr>
      </w:pPr>
    </w:p>
    <w:p w:rsidR="008F70FA" w:rsidRDefault="008F70FA" w:rsidP="008F70FA">
      <w:pPr>
        <w:numPr>
          <w:ilvl w:val="0"/>
          <w:numId w:val="1"/>
        </w:numPr>
        <w:autoSpaceDE w:val="0"/>
        <w:autoSpaceDN w:val="0"/>
        <w:spacing w:after="0" w:line="240" w:lineRule="auto"/>
        <w:ind w:left="426"/>
        <w:contextualSpacing/>
        <w:jc w:val="both"/>
        <w:rPr>
          <w:rFonts w:ascii="Arial" w:eastAsia="Times New Roman" w:hAnsi="Arial" w:cs="Arial"/>
        </w:rPr>
      </w:pPr>
      <w:r w:rsidRPr="005A0A73">
        <w:rPr>
          <w:rFonts w:ascii="Arial" w:eastAsia="Times New Roman" w:hAnsi="Arial" w:cs="Arial"/>
        </w:rPr>
        <w:t xml:space="preserve">If you have any queries, or problems with registration, please contact the SOTA Student Support Centre, 19 </w:t>
      </w:r>
      <w:proofErr w:type="spellStart"/>
      <w:r w:rsidRPr="005A0A73">
        <w:rPr>
          <w:rFonts w:ascii="Arial" w:eastAsia="Times New Roman" w:hAnsi="Arial" w:cs="Arial"/>
        </w:rPr>
        <w:t>Abercromby</w:t>
      </w:r>
      <w:proofErr w:type="spellEnd"/>
      <w:r w:rsidRPr="005A0A73">
        <w:rPr>
          <w:rFonts w:ascii="Arial" w:eastAsia="Times New Roman" w:hAnsi="Arial" w:cs="Arial"/>
        </w:rPr>
        <w:t xml:space="preserve"> Square (</w:t>
      </w:r>
      <w:hyperlink r:id="rId6" w:history="1">
        <w:r w:rsidRPr="005A0A73">
          <w:rPr>
            <w:rFonts w:ascii="Arial" w:eastAsia="Times New Roman" w:hAnsi="Arial" w:cs="Arial"/>
            <w:color w:val="0000FF"/>
            <w:u w:val="single"/>
          </w:rPr>
          <w:t>sscarts@liverpool.ac.uk</w:t>
        </w:r>
      </w:hyperlink>
      <w:r w:rsidRPr="005A0A73">
        <w:rPr>
          <w:rFonts w:ascii="Arial" w:eastAsia="Times New Roman" w:hAnsi="Arial" w:cs="Arial"/>
        </w:rPr>
        <w:t>).</w:t>
      </w:r>
    </w:p>
    <w:p w:rsidR="002630A4" w:rsidRDefault="002630A4" w:rsidP="002630A4">
      <w:pPr>
        <w:pStyle w:val="ListParagraph"/>
        <w:rPr>
          <w:rFonts w:ascii="Arial" w:eastAsia="Times New Roman" w:hAnsi="Arial" w:cs="Arial"/>
        </w:rPr>
      </w:pPr>
    </w:p>
    <w:p w:rsidR="002630A4" w:rsidRDefault="002630A4" w:rsidP="008F70FA">
      <w:pPr>
        <w:numPr>
          <w:ilvl w:val="0"/>
          <w:numId w:val="1"/>
        </w:numPr>
        <w:autoSpaceDE w:val="0"/>
        <w:autoSpaceDN w:val="0"/>
        <w:spacing w:after="0" w:line="240" w:lineRule="auto"/>
        <w:ind w:left="426"/>
        <w:contextualSpacing/>
        <w:jc w:val="both"/>
        <w:rPr>
          <w:rFonts w:ascii="Arial" w:eastAsia="Times New Roman" w:hAnsi="Arial" w:cs="Arial"/>
        </w:rPr>
      </w:pPr>
    </w:p>
    <w:tbl>
      <w:tblPr>
        <w:tblStyle w:val="TableGrid"/>
        <w:tblW w:w="0" w:type="auto"/>
        <w:tblLook w:val="04A0" w:firstRow="1" w:lastRow="0" w:firstColumn="1" w:lastColumn="0" w:noHBand="0" w:noVBand="1"/>
      </w:tblPr>
      <w:tblGrid>
        <w:gridCol w:w="1491"/>
        <w:gridCol w:w="2573"/>
        <w:gridCol w:w="1114"/>
        <w:gridCol w:w="1004"/>
        <w:gridCol w:w="1287"/>
        <w:gridCol w:w="1547"/>
      </w:tblGrid>
      <w:tr w:rsidR="002630A4" w:rsidTr="00A402BD">
        <w:trPr>
          <w:tblHeader/>
        </w:trPr>
        <w:tc>
          <w:tcPr>
            <w:tcW w:w="13948" w:type="dxa"/>
            <w:gridSpan w:val="6"/>
            <w:shd w:val="clear" w:color="auto" w:fill="B4C6E7" w:themeFill="accent1" w:themeFillTint="66"/>
          </w:tcPr>
          <w:p w:rsidR="002630A4" w:rsidRDefault="002630A4" w:rsidP="00A402BD">
            <w:pPr>
              <w:rPr>
                <w:b/>
                <w:sz w:val="28"/>
                <w:szCs w:val="28"/>
              </w:rPr>
            </w:pPr>
            <w:r>
              <w:rPr>
                <w:b/>
                <w:sz w:val="28"/>
                <w:szCs w:val="28"/>
              </w:rPr>
              <w:t>Structure</w:t>
            </w:r>
          </w:p>
        </w:tc>
      </w:tr>
      <w:tr w:rsidR="002630A4" w:rsidTr="00A402BD">
        <w:tc>
          <w:tcPr>
            <w:tcW w:w="13948" w:type="dxa"/>
            <w:gridSpan w:val="6"/>
          </w:tcPr>
          <w:p w:rsidR="002630A4" w:rsidRDefault="002630A4" w:rsidP="00A402BD">
            <w:pPr>
              <w:ind w:left="0" w:firstLine="0"/>
              <w:rPr>
                <w:b/>
              </w:rPr>
            </w:pPr>
            <w:r>
              <w:rPr>
                <w:b/>
              </w:rPr>
              <w:t xml:space="preserve"> Year 1 Semester 1</w:t>
            </w:r>
          </w:p>
        </w:tc>
      </w:tr>
      <w:tr w:rsidR="002630A4" w:rsidTr="00A402BD">
        <w:tc>
          <w:tcPr>
            <w:tcW w:w="13948" w:type="dxa"/>
            <w:gridSpan w:val="6"/>
          </w:tcPr>
          <w:p w:rsidR="002630A4" w:rsidRDefault="002630A4" w:rsidP="00A402BD">
            <w:pPr>
              <w:ind w:left="0" w:firstLine="0"/>
              <w:rPr>
                <w:b/>
              </w:rPr>
            </w:pPr>
            <w:r>
              <w:t xml:space="preserve"> </w:t>
            </w:r>
            <w:r w:rsidR="00EF3499">
              <w:t>Students will register for 180 credits of modules across the course of the year. There will be 45 credits of required modules in semester 1, with 15 credits of optional modules.</w:t>
            </w:r>
          </w:p>
        </w:tc>
      </w:tr>
      <w:tr w:rsidR="002630A4" w:rsidTr="00A402BD">
        <w:tc>
          <w:tcPr>
            <w:tcW w:w="13948" w:type="dxa"/>
            <w:gridSpan w:val="6"/>
          </w:tcPr>
          <w:p w:rsidR="002630A4" w:rsidRDefault="002630A4" w:rsidP="00A402BD">
            <w:pPr>
              <w:ind w:left="0" w:firstLine="0"/>
            </w:pPr>
            <w:r>
              <w:t xml:space="preserve"> </w:t>
            </w:r>
          </w:p>
          <w:p w:rsidR="002630A4" w:rsidRDefault="002630A4" w:rsidP="00A402BD">
            <w:pPr>
              <w:ind w:left="0" w:firstLine="0"/>
              <w:rPr>
                <w:b/>
              </w:rPr>
            </w:pPr>
          </w:p>
        </w:tc>
      </w:tr>
      <w:tr w:rsidR="002630A4" w:rsidTr="00A402BD">
        <w:tc>
          <w:tcPr>
            <w:tcW w:w="13948" w:type="dxa"/>
            <w:gridSpan w:val="6"/>
          </w:tcPr>
          <w:p w:rsidR="002630A4" w:rsidRDefault="002630A4" w:rsidP="00A402BD">
            <w:pPr>
              <w:widowControl w:val="0"/>
              <w:autoSpaceDE w:val="0"/>
              <w:autoSpaceDN w:val="0"/>
              <w:adjustRightInd w:val="0"/>
              <w:spacing w:line="274" w:lineRule="auto"/>
              <w:ind w:left="0" w:firstLine="0"/>
              <w:rPr>
                <w:b/>
              </w:rPr>
            </w:pPr>
            <w:r>
              <w:t xml:space="preserve"> </w:t>
            </w:r>
          </w:p>
        </w:tc>
      </w:tr>
      <w:tr w:rsidR="002630A4" w:rsidTr="00A402BD">
        <w:tc>
          <w:tcPr>
            <w:tcW w:w="2091" w:type="dxa"/>
            <w:shd w:val="clear" w:color="auto" w:fill="D9E2F3" w:themeFill="accent1" w:themeFillTint="33"/>
          </w:tcPr>
          <w:p w:rsidR="002630A4" w:rsidRDefault="002630A4" w:rsidP="00A402BD">
            <w:pPr>
              <w:ind w:left="0" w:firstLine="0"/>
            </w:pPr>
            <w:r>
              <w:rPr>
                <w:b/>
              </w:rPr>
              <w:t>Code</w:t>
            </w:r>
          </w:p>
        </w:tc>
        <w:tc>
          <w:tcPr>
            <w:tcW w:w="4448"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Pathway(s)</w:t>
            </w:r>
          </w:p>
        </w:tc>
      </w:tr>
      <w:tr w:rsidR="002630A4" w:rsidTr="00A402BD">
        <w:tc>
          <w:tcPr>
            <w:tcW w:w="2091" w:type="dxa"/>
          </w:tcPr>
          <w:p w:rsidR="002630A4" w:rsidRDefault="002630A4" w:rsidP="00A402BD">
            <w:pPr>
              <w:ind w:left="0" w:firstLine="0"/>
            </w:pPr>
            <w:r>
              <w:t>COMM742</w:t>
            </w:r>
          </w:p>
        </w:tc>
        <w:tc>
          <w:tcPr>
            <w:tcW w:w="4448" w:type="dxa"/>
          </w:tcPr>
          <w:p w:rsidR="002630A4" w:rsidRDefault="002630A4" w:rsidP="00A402BD">
            <w:pPr>
              <w:ind w:left="0" w:firstLine="0"/>
            </w:pPr>
            <w:r>
              <w:t>Introduction to computational social science methods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Required</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COMM741</w:t>
            </w:r>
          </w:p>
        </w:tc>
        <w:tc>
          <w:tcPr>
            <w:tcW w:w="4448" w:type="dxa"/>
          </w:tcPr>
          <w:p w:rsidR="002630A4" w:rsidRDefault="002630A4" w:rsidP="00A402BD">
            <w:pPr>
              <w:ind w:left="0" w:firstLine="0"/>
            </w:pPr>
            <w:r>
              <w:t>Introduction to Data Science A 2023-24</w:t>
            </w:r>
          </w:p>
        </w:tc>
        <w:tc>
          <w:tcPr>
            <w:tcW w:w="1804" w:type="dxa"/>
          </w:tcPr>
          <w:p w:rsidR="002630A4" w:rsidRDefault="002630A4" w:rsidP="00A402BD">
            <w:pPr>
              <w:ind w:left="0" w:firstLine="0"/>
            </w:pPr>
            <w:r>
              <w:t>30</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Required</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COMM752</w:t>
            </w:r>
          </w:p>
        </w:tc>
        <w:tc>
          <w:tcPr>
            <w:tcW w:w="4448" w:type="dxa"/>
          </w:tcPr>
          <w:p w:rsidR="002630A4" w:rsidRDefault="002630A4" w:rsidP="00A402BD">
            <w:pPr>
              <w:ind w:left="0" w:firstLine="0"/>
            </w:pPr>
            <w:r>
              <w:t>Big data and society B: foundations, politics, and policy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COMP518</w:t>
            </w:r>
          </w:p>
        </w:tc>
        <w:tc>
          <w:tcPr>
            <w:tcW w:w="4448" w:type="dxa"/>
          </w:tcPr>
          <w:p w:rsidR="002630A4" w:rsidRDefault="002630A4" w:rsidP="00A402BD">
            <w:pPr>
              <w:ind w:left="0" w:firstLine="0"/>
            </w:pPr>
            <w:r>
              <w:t>Database and Information Systems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COMM517</w:t>
            </w:r>
          </w:p>
        </w:tc>
        <w:tc>
          <w:tcPr>
            <w:tcW w:w="4448" w:type="dxa"/>
          </w:tcPr>
          <w:p w:rsidR="002630A4" w:rsidRDefault="002630A4" w:rsidP="00A402BD">
            <w:pPr>
              <w:ind w:left="0" w:firstLine="0"/>
            </w:pPr>
            <w:r>
              <w:t>Fundamentals of Strategic Communication B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COMM765</w:t>
            </w:r>
          </w:p>
        </w:tc>
        <w:tc>
          <w:tcPr>
            <w:tcW w:w="4448" w:type="dxa"/>
          </w:tcPr>
          <w:p w:rsidR="002630A4" w:rsidRDefault="002630A4" w:rsidP="00A402BD">
            <w:pPr>
              <w:ind w:left="0" w:firstLine="0"/>
            </w:pPr>
            <w:r>
              <w:t>Media and Politics: Theories and Cases B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COMM744</w:t>
            </w:r>
          </w:p>
        </w:tc>
        <w:tc>
          <w:tcPr>
            <w:tcW w:w="4448" w:type="dxa"/>
          </w:tcPr>
          <w:p w:rsidR="002630A4" w:rsidRDefault="002630A4" w:rsidP="00A402BD">
            <w:pPr>
              <w:ind w:left="0" w:firstLine="0"/>
            </w:pPr>
            <w:r>
              <w:t>Screen Cultures B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lastRenderedPageBreak/>
              <w:t>COMM757</w:t>
            </w:r>
          </w:p>
        </w:tc>
        <w:tc>
          <w:tcPr>
            <w:tcW w:w="4448" w:type="dxa"/>
          </w:tcPr>
          <w:p w:rsidR="002630A4" w:rsidRDefault="002630A4" w:rsidP="00A402BD">
            <w:pPr>
              <w:ind w:left="0" w:firstLine="0"/>
            </w:pPr>
            <w:r>
              <w:t>Understanding Media Change B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13948" w:type="dxa"/>
            <w:gridSpan w:val="6"/>
          </w:tcPr>
          <w:p w:rsidR="002630A4" w:rsidRDefault="002630A4" w:rsidP="00A402BD">
            <w:pPr>
              <w:ind w:left="0" w:firstLine="0"/>
              <w:rPr>
                <w:b/>
              </w:rPr>
            </w:pPr>
            <w:r>
              <w:rPr>
                <w:b/>
              </w:rPr>
              <w:t xml:space="preserve"> Year 1 Semester 2</w:t>
            </w:r>
          </w:p>
        </w:tc>
      </w:tr>
      <w:tr w:rsidR="002630A4" w:rsidTr="00A402BD">
        <w:tc>
          <w:tcPr>
            <w:tcW w:w="13948" w:type="dxa"/>
            <w:gridSpan w:val="6"/>
          </w:tcPr>
          <w:p w:rsidR="002630A4" w:rsidRDefault="002630A4" w:rsidP="00A402BD">
            <w:pPr>
              <w:ind w:left="0" w:firstLine="0"/>
              <w:rPr>
                <w:b/>
              </w:rPr>
            </w:pPr>
            <w:r>
              <w:t xml:space="preserve"> </w:t>
            </w:r>
            <w:r w:rsidR="00EF3499">
              <w:t xml:space="preserve">In Semester 2, students will be registered for 30 credits of required modules, and will choose an additional 30 credits of optional modules. </w:t>
            </w:r>
          </w:p>
        </w:tc>
      </w:tr>
      <w:tr w:rsidR="002630A4" w:rsidTr="00A402BD">
        <w:tc>
          <w:tcPr>
            <w:tcW w:w="13948" w:type="dxa"/>
            <w:gridSpan w:val="6"/>
          </w:tcPr>
          <w:p w:rsidR="002630A4" w:rsidRDefault="002630A4" w:rsidP="00A402BD">
            <w:pPr>
              <w:ind w:left="0" w:firstLine="0"/>
            </w:pPr>
            <w:r>
              <w:t xml:space="preserve"> </w:t>
            </w:r>
          </w:p>
          <w:p w:rsidR="002630A4" w:rsidRDefault="002630A4" w:rsidP="00A402BD">
            <w:pPr>
              <w:ind w:left="0" w:firstLine="0"/>
              <w:rPr>
                <w:b/>
              </w:rPr>
            </w:pPr>
          </w:p>
        </w:tc>
      </w:tr>
      <w:tr w:rsidR="002630A4" w:rsidTr="00A402BD">
        <w:tc>
          <w:tcPr>
            <w:tcW w:w="13948" w:type="dxa"/>
            <w:gridSpan w:val="6"/>
          </w:tcPr>
          <w:p w:rsidR="002630A4" w:rsidRDefault="002630A4" w:rsidP="00A402BD">
            <w:pPr>
              <w:widowControl w:val="0"/>
              <w:autoSpaceDE w:val="0"/>
              <w:autoSpaceDN w:val="0"/>
              <w:adjustRightInd w:val="0"/>
              <w:spacing w:line="274" w:lineRule="auto"/>
              <w:ind w:left="0" w:firstLine="0"/>
              <w:rPr>
                <w:b/>
              </w:rPr>
            </w:pPr>
            <w:r>
              <w:t xml:space="preserve"> </w:t>
            </w:r>
          </w:p>
        </w:tc>
      </w:tr>
      <w:tr w:rsidR="002630A4" w:rsidTr="00A402BD">
        <w:tc>
          <w:tcPr>
            <w:tcW w:w="2091" w:type="dxa"/>
            <w:shd w:val="clear" w:color="auto" w:fill="D9E2F3" w:themeFill="accent1" w:themeFillTint="33"/>
          </w:tcPr>
          <w:p w:rsidR="002630A4" w:rsidRDefault="002630A4" w:rsidP="00A402BD">
            <w:pPr>
              <w:ind w:left="0" w:firstLine="0"/>
            </w:pPr>
            <w:r>
              <w:rPr>
                <w:b/>
              </w:rPr>
              <w:t>Code</w:t>
            </w:r>
          </w:p>
        </w:tc>
        <w:tc>
          <w:tcPr>
            <w:tcW w:w="4448"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Pathway(s)</w:t>
            </w:r>
          </w:p>
        </w:tc>
      </w:tr>
      <w:tr w:rsidR="002630A4" w:rsidTr="00A402BD">
        <w:tc>
          <w:tcPr>
            <w:tcW w:w="2091" w:type="dxa"/>
          </w:tcPr>
          <w:p w:rsidR="002630A4" w:rsidRDefault="002630A4" w:rsidP="00A402BD">
            <w:pPr>
              <w:ind w:left="0" w:firstLine="0"/>
            </w:pPr>
            <w:r>
              <w:t>COMM766</w:t>
            </w:r>
          </w:p>
        </w:tc>
        <w:tc>
          <w:tcPr>
            <w:tcW w:w="4448" w:type="dxa"/>
          </w:tcPr>
          <w:p w:rsidR="002630A4" w:rsidRDefault="002630A4" w:rsidP="00A402BD">
            <w:pPr>
              <w:ind w:left="0" w:firstLine="0"/>
            </w:pPr>
            <w:r>
              <w:t>Artificial Intelligence and Communication A 2023-24</w:t>
            </w:r>
          </w:p>
        </w:tc>
        <w:tc>
          <w:tcPr>
            <w:tcW w:w="1804" w:type="dxa"/>
          </w:tcPr>
          <w:p w:rsidR="002630A4" w:rsidRDefault="002630A4" w:rsidP="00A402BD">
            <w:pPr>
              <w:ind w:left="0" w:firstLine="0"/>
            </w:pPr>
            <w:r>
              <w:t>30</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Required</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COMM520</w:t>
            </w:r>
          </w:p>
        </w:tc>
        <w:tc>
          <w:tcPr>
            <w:tcW w:w="4448" w:type="dxa"/>
          </w:tcPr>
          <w:p w:rsidR="002630A4" w:rsidRDefault="002630A4" w:rsidP="00A402BD">
            <w:pPr>
              <w:ind w:left="0" w:firstLine="0"/>
            </w:pPr>
            <w:r>
              <w:t>Argumentation in Media and Strategic Communication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COMM754</w:t>
            </w:r>
          </w:p>
        </w:tc>
        <w:tc>
          <w:tcPr>
            <w:tcW w:w="4448" w:type="dxa"/>
          </w:tcPr>
          <w:p w:rsidR="002630A4" w:rsidRDefault="002630A4" w:rsidP="00A402BD">
            <w:pPr>
              <w:ind w:left="0" w:firstLine="0"/>
            </w:pPr>
            <w:r>
              <w:t>Big data and society D: algorithms and platforms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COMM521</w:t>
            </w:r>
          </w:p>
        </w:tc>
        <w:tc>
          <w:tcPr>
            <w:tcW w:w="4448" w:type="dxa"/>
          </w:tcPr>
          <w:p w:rsidR="002630A4" w:rsidRDefault="002630A4" w:rsidP="00A402BD">
            <w:pPr>
              <w:ind w:left="0" w:firstLine="0"/>
            </w:pPr>
            <w:r>
              <w:t>Branding Strategy and Communication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COMM740</w:t>
            </w:r>
          </w:p>
        </w:tc>
        <w:tc>
          <w:tcPr>
            <w:tcW w:w="4448" w:type="dxa"/>
          </w:tcPr>
          <w:p w:rsidR="002630A4" w:rsidRDefault="002630A4" w:rsidP="00A402BD">
            <w:pPr>
              <w:ind w:left="0" w:firstLine="0"/>
            </w:pPr>
            <w:r>
              <w:t>Data Visualisation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COMM739</w:t>
            </w:r>
          </w:p>
        </w:tc>
        <w:tc>
          <w:tcPr>
            <w:tcW w:w="4448" w:type="dxa"/>
          </w:tcPr>
          <w:p w:rsidR="002630A4" w:rsidRDefault="002630A4" w:rsidP="00A402BD">
            <w:pPr>
              <w:ind w:left="0" w:firstLine="0"/>
            </w:pPr>
            <w:r>
              <w:t>Digital Media Audiences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COMM748</w:t>
            </w:r>
          </w:p>
        </w:tc>
        <w:tc>
          <w:tcPr>
            <w:tcW w:w="4448" w:type="dxa"/>
          </w:tcPr>
          <w:p w:rsidR="002630A4" w:rsidRDefault="002630A4" w:rsidP="00A402BD">
            <w:pPr>
              <w:ind w:left="0" w:firstLine="0"/>
            </w:pPr>
            <w:r>
              <w:t>Global Journalism and Politics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COMM763</w:t>
            </w:r>
          </w:p>
        </w:tc>
        <w:tc>
          <w:tcPr>
            <w:tcW w:w="4448" w:type="dxa"/>
          </w:tcPr>
          <w:p w:rsidR="002630A4" w:rsidRDefault="002630A4" w:rsidP="00A402BD">
            <w:pPr>
              <w:ind w:left="0" w:firstLine="0"/>
            </w:pPr>
            <w:r>
              <w:t>Media and Politics: Economy and Society B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COMM759</w:t>
            </w:r>
          </w:p>
        </w:tc>
        <w:tc>
          <w:tcPr>
            <w:tcW w:w="4448" w:type="dxa"/>
          </w:tcPr>
          <w:p w:rsidR="002630A4" w:rsidRDefault="002630A4" w:rsidP="00A402BD">
            <w:pPr>
              <w:ind w:left="0" w:firstLine="0"/>
            </w:pPr>
            <w:r>
              <w:t>Media Practices and Everyday Life B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COMM750</w:t>
            </w:r>
          </w:p>
        </w:tc>
        <w:tc>
          <w:tcPr>
            <w:tcW w:w="4448" w:type="dxa"/>
          </w:tcPr>
          <w:p w:rsidR="002630A4" w:rsidRDefault="002630A4" w:rsidP="00A402BD">
            <w:pPr>
              <w:ind w:left="0" w:firstLine="0"/>
            </w:pPr>
            <w:r>
              <w:t>Redefining Television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COMM746</w:t>
            </w:r>
          </w:p>
        </w:tc>
        <w:tc>
          <w:tcPr>
            <w:tcW w:w="4448" w:type="dxa"/>
          </w:tcPr>
          <w:p w:rsidR="002630A4" w:rsidRDefault="002630A4" w:rsidP="00A402BD">
            <w:pPr>
              <w:ind w:left="0" w:firstLine="0"/>
            </w:pPr>
            <w:r>
              <w:t>Screen Industries B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2091" w:type="dxa"/>
          </w:tcPr>
          <w:p w:rsidR="002630A4" w:rsidRDefault="002630A4" w:rsidP="00A402BD">
            <w:pPr>
              <w:ind w:left="0" w:firstLine="0"/>
            </w:pPr>
            <w:r>
              <w:t>COMM761</w:t>
            </w:r>
          </w:p>
        </w:tc>
        <w:tc>
          <w:tcPr>
            <w:tcW w:w="4448" w:type="dxa"/>
          </w:tcPr>
          <w:p w:rsidR="002630A4" w:rsidRDefault="002630A4" w:rsidP="00A402BD">
            <w:pPr>
              <w:ind w:left="0" w:firstLine="0"/>
            </w:pPr>
            <w:r>
              <w:t>Visual Cultures: Institutions, Exhibitions, Interventions 2023-24</w:t>
            </w:r>
          </w:p>
        </w:tc>
        <w:tc>
          <w:tcPr>
            <w:tcW w:w="1804" w:type="dxa"/>
          </w:tcPr>
          <w:p w:rsidR="002630A4" w:rsidRDefault="002630A4" w:rsidP="00A402BD">
            <w:pPr>
              <w:ind w:left="0" w:firstLine="0"/>
            </w:pPr>
            <w:r>
              <w:t>15</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Optional</w:t>
            </w:r>
          </w:p>
        </w:tc>
        <w:tc>
          <w:tcPr>
            <w:tcW w:w="2166" w:type="dxa"/>
          </w:tcPr>
          <w:p w:rsidR="002630A4" w:rsidRDefault="002630A4" w:rsidP="00A402BD">
            <w:pPr>
              <w:ind w:left="0" w:firstLine="0"/>
            </w:pPr>
          </w:p>
        </w:tc>
      </w:tr>
      <w:tr w:rsidR="002630A4" w:rsidTr="00A402BD">
        <w:tc>
          <w:tcPr>
            <w:tcW w:w="13948" w:type="dxa"/>
            <w:gridSpan w:val="6"/>
          </w:tcPr>
          <w:p w:rsidR="002630A4" w:rsidRDefault="002630A4" w:rsidP="00A402BD">
            <w:pPr>
              <w:ind w:left="0" w:firstLine="0"/>
              <w:rPr>
                <w:b/>
              </w:rPr>
            </w:pPr>
            <w:r>
              <w:rPr>
                <w:b/>
              </w:rPr>
              <w:t xml:space="preserve"> Year 1 Semester 3</w:t>
            </w:r>
          </w:p>
        </w:tc>
      </w:tr>
      <w:tr w:rsidR="002630A4" w:rsidTr="00A402BD">
        <w:tc>
          <w:tcPr>
            <w:tcW w:w="13948" w:type="dxa"/>
            <w:gridSpan w:val="6"/>
          </w:tcPr>
          <w:p w:rsidR="002630A4" w:rsidRDefault="002630A4" w:rsidP="00A402BD">
            <w:pPr>
              <w:ind w:left="0" w:firstLine="0"/>
              <w:rPr>
                <w:b/>
              </w:rPr>
            </w:pPr>
            <w:r>
              <w:t xml:space="preserve"> </w:t>
            </w:r>
          </w:p>
        </w:tc>
      </w:tr>
      <w:tr w:rsidR="002630A4" w:rsidTr="00A402BD">
        <w:tc>
          <w:tcPr>
            <w:tcW w:w="13948" w:type="dxa"/>
            <w:gridSpan w:val="6"/>
          </w:tcPr>
          <w:p w:rsidR="002630A4" w:rsidRDefault="002630A4" w:rsidP="00A402BD">
            <w:pPr>
              <w:ind w:left="0" w:firstLine="0"/>
            </w:pPr>
            <w:r>
              <w:t xml:space="preserve"> </w:t>
            </w:r>
            <w:r w:rsidR="00AB7C60">
              <w:t>St</w:t>
            </w:r>
            <w:r w:rsidR="00EF3499">
              <w:t>udents will be registered for the required 60 credit</w:t>
            </w:r>
            <w:r w:rsidR="00FE41A8">
              <w:t xml:space="preserve"> </w:t>
            </w:r>
            <w:r w:rsidR="00EF3499">
              <w:t xml:space="preserve">Dissertation module. </w:t>
            </w:r>
          </w:p>
          <w:p w:rsidR="002630A4" w:rsidRDefault="002630A4" w:rsidP="00A402BD">
            <w:pPr>
              <w:ind w:left="0" w:firstLine="0"/>
              <w:rPr>
                <w:b/>
              </w:rPr>
            </w:pPr>
          </w:p>
        </w:tc>
      </w:tr>
      <w:tr w:rsidR="002630A4" w:rsidTr="00A402BD">
        <w:tc>
          <w:tcPr>
            <w:tcW w:w="13948" w:type="dxa"/>
            <w:gridSpan w:val="6"/>
          </w:tcPr>
          <w:p w:rsidR="002630A4" w:rsidRDefault="002630A4" w:rsidP="00A402BD">
            <w:pPr>
              <w:widowControl w:val="0"/>
              <w:autoSpaceDE w:val="0"/>
              <w:autoSpaceDN w:val="0"/>
              <w:adjustRightInd w:val="0"/>
              <w:spacing w:line="274" w:lineRule="auto"/>
              <w:ind w:left="0" w:firstLine="0"/>
              <w:rPr>
                <w:b/>
              </w:rPr>
            </w:pPr>
            <w:r>
              <w:t xml:space="preserve"> </w:t>
            </w:r>
          </w:p>
        </w:tc>
      </w:tr>
      <w:tr w:rsidR="002630A4" w:rsidTr="00A402BD">
        <w:tc>
          <w:tcPr>
            <w:tcW w:w="2091" w:type="dxa"/>
            <w:shd w:val="clear" w:color="auto" w:fill="D9E2F3" w:themeFill="accent1" w:themeFillTint="33"/>
          </w:tcPr>
          <w:p w:rsidR="002630A4" w:rsidRDefault="002630A4" w:rsidP="00A402BD">
            <w:pPr>
              <w:ind w:left="0" w:firstLine="0"/>
            </w:pPr>
            <w:r>
              <w:rPr>
                <w:b/>
              </w:rPr>
              <w:t>Code</w:t>
            </w:r>
          </w:p>
        </w:tc>
        <w:tc>
          <w:tcPr>
            <w:tcW w:w="4448"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Module</w:t>
            </w:r>
          </w:p>
        </w:tc>
        <w:tc>
          <w:tcPr>
            <w:tcW w:w="1804"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Credit</w:t>
            </w:r>
          </w:p>
        </w:tc>
        <w:tc>
          <w:tcPr>
            <w:tcW w:w="1636"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Level</w:t>
            </w:r>
          </w:p>
        </w:tc>
        <w:tc>
          <w:tcPr>
            <w:tcW w:w="1803"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Type</w:t>
            </w:r>
          </w:p>
        </w:tc>
        <w:tc>
          <w:tcPr>
            <w:tcW w:w="2166" w:type="dxa"/>
            <w:shd w:val="clear" w:color="auto" w:fill="D9E2F3" w:themeFill="accent1" w:themeFillTint="33"/>
          </w:tcPr>
          <w:p w:rsidR="002630A4" w:rsidRDefault="002630A4" w:rsidP="00A402BD">
            <w:pPr>
              <w:widowControl w:val="0"/>
              <w:autoSpaceDE w:val="0"/>
              <w:autoSpaceDN w:val="0"/>
              <w:adjustRightInd w:val="0"/>
              <w:spacing w:line="274" w:lineRule="auto"/>
              <w:ind w:left="0" w:firstLine="0"/>
              <w:rPr>
                <w:b/>
              </w:rPr>
            </w:pPr>
            <w:r>
              <w:rPr>
                <w:b/>
              </w:rPr>
              <w:t>Pathway(s)</w:t>
            </w:r>
          </w:p>
        </w:tc>
      </w:tr>
      <w:tr w:rsidR="002630A4" w:rsidTr="00A402BD">
        <w:tc>
          <w:tcPr>
            <w:tcW w:w="2091" w:type="dxa"/>
          </w:tcPr>
          <w:p w:rsidR="002630A4" w:rsidRDefault="002630A4" w:rsidP="00A402BD">
            <w:pPr>
              <w:ind w:left="0" w:firstLine="0"/>
            </w:pPr>
            <w:r>
              <w:t>COMM716</w:t>
            </w:r>
          </w:p>
        </w:tc>
        <w:tc>
          <w:tcPr>
            <w:tcW w:w="4448" w:type="dxa"/>
          </w:tcPr>
          <w:p w:rsidR="002630A4" w:rsidRDefault="002630A4" w:rsidP="00A402BD">
            <w:pPr>
              <w:ind w:left="0" w:firstLine="0"/>
            </w:pPr>
            <w:r>
              <w:t>Dissertation 2023-24</w:t>
            </w:r>
          </w:p>
        </w:tc>
        <w:tc>
          <w:tcPr>
            <w:tcW w:w="1804" w:type="dxa"/>
          </w:tcPr>
          <w:p w:rsidR="002630A4" w:rsidRDefault="002630A4" w:rsidP="00A402BD">
            <w:pPr>
              <w:ind w:left="0" w:firstLine="0"/>
            </w:pPr>
            <w:r>
              <w:t>60</w:t>
            </w:r>
          </w:p>
        </w:tc>
        <w:tc>
          <w:tcPr>
            <w:tcW w:w="1636" w:type="dxa"/>
          </w:tcPr>
          <w:p w:rsidR="002630A4" w:rsidRDefault="002630A4" w:rsidP="00A402BD">
            <w:pPr>
              <w:ind w:left="0" w:firstLine="0"/>
            </w:pPr>
            <w:r>
              <w:t>Level 7</w:t>
            </w:r>
          </w:p>
        </w:tc>
        <w:tc>
          <w:tcPr>
            <w:tcW w:w="1803" w:type="dxa"/>
          </w:tcPr>
          <w:p w:rsidR="002630A4" w:rsidRDefault="002630A4" w:rsidP="00A402BD">
            <w:pPr>
              <w:ind w:left="0" w:firstLine="0"/>
            </w:pPr>
            <w:r>
              <w:t>Required</w:t>
            </w:r>
          </w:p>
        </w:tc>
        <w:tc>
          <w:tcPr>
            <w:tcW w:w="2166" w:type="dxa"/>
          </w:tcPr>
          <w:p w:rsidR="002630A4" w:rsidRDefault="002630A4" w:rsidP="00A402BD">
            <w:pPr>
              <w:ind w:left="0" w:firstLine="0"/>
            </w:pPr>
          </w:p>
        </w:tc>
      </w:tr>
    </w:tbl>
    <w:p w:rsidR="002630A4" w:rsidRPr="005A0A73" w:rsidRDefault="002630A4" w:rsidP="002630A4">
      <w:pPr>
        <w:autoSpaceDE w:val="0"/>
        <w:autoSpaceDN w:val="0"/>
        <w:spacing w:after="0" w:line="240" w:lineRule="auto"/>
        <w:contextualSpacing/>
        <w:jc w:val="both"/>
        <w:rPr>
          <w:rFonts w:ascii="Arial" w:eastAsia="Times New Roman" w:hAnsi="Arial" w:cs="Arial"/>
        </w:rPr>
      </w:pPr>
    </w:p>
    <w:sectPr w:rsidR="002630A4" w:rsidRPr="005A0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522C"/>
    <w:multiLevelType w:val="hybridMultilevel"/>
    <w:tmpl w:val="42D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FA"/>
    <w:rsid w:val="002630A4"/>
    <w:rsid w:val="002C7121"/>
    <w:rsid w:val="002E752B"/>
    <w:rsid w:val="004A65E1"/>
    <w:rsid w:val="008F70FA"/>
    <w:rsid w:val="00AB7C60"/>
    <w:rsid w:val="00DC7C05"/>
    <w:rsid w:val="00EF3499"/>
    <w:rsid w:val="00FE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EAF1B-FD98-4C93-9ACE-589A9F2A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0FA"/>
    <w:pPr>
      <w:ind w:left="720"/>
      <w:contextualSpacing/>
    </w:pPr>
  </w:style>
  <w:style w:type="character" w:styleId="Hyperlink">
    <w:name w:val="Hyperlink"/>
    <w:basedOn w:val="DefaultParagraphFont"/>
    <w:uiPriority w:val="99"/>
    <w:unhideWhenUsed/>
    <w:rsid w:val="008F70FA"/>
    <w:rPr>
      <w:color w:val="0563C1" w:themeColor="hyperlink"/>
      <w:u w:val="single"/>
    </w:rPr>
  </w:style>
  <w:style w:type="character" w:styleId="UnresolvedMention">
    <w:name w:val="Unresolved Mention"/>
    <w:basedOn w:val="DefaultParagraphFont"/>
    <w:uiPriority w:val="99"/>
    <w:semiHidden/>
    <w:unhideWhenUsed/>
    <w:rsid w:val="008F70FA"/>
    <w:rPr>
      <w:color w:val="605E5C"/>
      <w:shd w:val="clear" w:color="auto" w:fill="E1DFDD"/>
    </w:rPr>
  </w:style>
  <w:style w:type="table" w:styleId="TableGrid">
    <w:name w:val="Table Grid"/>
    <w:basedOn w:val="TableNormal"/>
    <w:uiPriority w:val="39"/>
    <w:rsid w:val="002E752B"/>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arts@liverpool.ac.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 Hollie</dc:creator>
  <cp:keywords/>
  <dc:description/>
  <cp:lastModifiedBy>Cowin, Ashleigh</cp:lastModifiedBy>
  <cp:revision>5</cp:revision>
  <dcterms:created xsi:type="dcterms:W3CDTF">2023-08-22T14:39:00Z</dcterms:created>
  <dcterms:modified xsi:type="dcterms:W3CDTF">2023-08-23T08:58:00Z</dcterms:modified>
</cp:coreProperties>
</file>