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3D33" w14:textId="61B0F06D" w:rsidR="00A30822" w:rsidRDefault="00971EFA" w:rsidP="76CFEC68">
      <w:pPr>
        <w:spacing w:after="0" w:line="240" w:lineRule="auto"/>
        <w:jc w:val="center"/>
        <w:textAlignment w:val="baseline"/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</w:pPr>
      <w:r w:rsidRPr="76CFEC68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 xml:space="preserve">Research Development Checklist for </w:t>
      </w:r>
      <w:r w:rsidR="00C61EF9" w:rsidRPr="76CFEC68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PGR Supervisors</w:t>
      </w:r>
      <w:r w:rsidR="0F84DCA1" w:rsidRPr="76CFEC68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, 202</w:t>
      </w:r>
      <w:r w:rsidR="00CA2A5A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5</w:t>
      </w:r>
      <w:r w:rsidR="0F84DCA1" w:rsidRPr="76CFEC68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-2</w:t>
      </w:r>
      <w:r w:rsidR="00CA2A5A">
        <w:rPr>
          <w:rFonts w:ascii="Arial Nova" w:eastAsia="Times New Roman" w:hAnsi="Arial Nova" w:cs="Segoe UI"/>
          <w:b/>
          <w:bCs/>
          <w:color w:val="000000" w:themeColor="text1"/>
          <w:sz w:val="32"/>
          <w:szCs w:val="32"/>
          <w:lang w:eastAsia="en-GB"/>
        </w:rPr>
        <w:t>6</w:t>
      </w:r>
    </w:p>
    <w:p w14:paraId="6E7BEAA2" w14:textId="77777777" w:rsidR="00971EFA" w:rsidRPr="00971EFA" w:rsidRDefault="00971EFA" w:rsidP="00A308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71EFA">
        <w:rPr>
          <w:rFonts w:ascii="Arial Nova" w:eastAsia="Times New Roman" w:hAnsi="Arial Nova" w:cs="Segoe UI"/>
          <w:color w:val="000000"/>
          <w:sz w:val="32"/>
          <w:szCs w:val="32"/>
          <w:lang w:eastAsia="en-GB"/>
        </w:rPr>
        <w:t> </w:t>
      </w:r>
    </w:p>
    <w:p w14:paraId="50A3C548" w14:textId="77777777" w:rsidR="00971EFA" w:rsidRPr="00971EFA" w:rsidRDefault="00971EFA" w:rsidP="00971E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71EFA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This Checklist is intended to act as a resource to </w:t>
      </w:r>
      <w:r w:rsidR="001507CB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support you in your role as a </w:t>
      </w:r>
      <w:r w:rsidR="00222269" w:rsidRPr="00971EFA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Postgraduate Research </w:t>
      </w:r>
      <w:r w:rsidR="00222269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>(</w:t>
      </w:r>
      <w:r w:rsidR="001507CB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>PGR</w:t>
      </w:r>
      <w:r w:rsidR="00222269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>)</w:t>
      </w:r>
      <w:r w:rsidR="001507CB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 Supervisor and to </w:t>
      </w:r>
      <w:r w:rsidR="00222269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help you to </w:t>
      </w:r>
      <w:r w:rsidRPr="00971EFA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keep your </w:t>
      </w:r>
      <w:r w:rsidR="00222269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PGR’s </w:t>
      </w:r>
      <w:r w:rsidRPr="00971EFA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Research Development Plan on track. It is designed to highlight key milestones and opportunities </w:t>
      </w:r>
      <w:r w:rsidR="00222269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>enable you to guide your PGR successfully through the</w:t>
      </w:r>
      <w:r w:rsidRPr="00971EFA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 </w:t>
      </w:r>
      <w:r w:rsidRPr="00971EFA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five themes of the Researcher Development Roadmap</w:t>
      </w:r>
      <w:r w:rsidRPr="00971EFA">
        <w:rPr>
          <w:rFonts w:ascii="Segoe UI" w:eastAsia="Times New Roman" w:hAnsi="Segoe UI" w:cs="Segoe UI"/>
          <w:sz w:val="18"/>
          <w:szCs w:val="18"/>
          <w:lang w:eastAsia="en-GB"/>
        </w:rPr>
        <w:t xml:space="preserve"> </w:t>
      </w:r>
      <w:r w:rsidRPr="00971EFA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- to help </w:t>
      </w:r>
      <w:r w:rsidR="00222269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>them</w:t>
      </w:r>
      <w:r w:rsidRPr="00971EFA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 to Progress, Reflect, Thrive, Advance &amp; Grow at every stage of </w:t>
      </w:r>
      <w:r w:rsidR="00222269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>their</w:t>
      </w:r>
      <w:r w:rsidRPr="00971EFA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 xml:space="preserve"> PGR programme </w:t>
      </w:r>
    </w:p>
    <w:p w14:paraId="59531C1E" w14:textId="77777777" w:rsidR="00971EFA" w:rsidRPr="00971EFA" w:rsidRDefault="00971EFA" w:rsidP="00971E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71EFA">
        <w:rPr>
          <w:rFonts w:ascii="Calibri" w:eastAsia="Times New Roman" w:hAnsi="Calibri" w:cs="Calibri"/>
          <w:lang w:eastAsia="en-GB"/>
        </w:rPr>
        <w:t>  </w:t>
      </w:r>
    </w:p>
    <w:p w14:paraId="406591EE" w14:textId="77777777" w:rsidR="00971EFA" w:rsidRPr="00971EFA" w:rsidRDefault="00971EFA" w:rsidP="00971E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71EFA">
        <w:rPr>
          <w:rFonts w:ascii="Calibri" w:eastAsia="Times New Roman" w:hAnsi="Calibri" w:cs="Calibri"/>
          <w:sz w:val="10"/>
          <w:szCs w:val="10"/>
          <w:lang w:eastAsia="en-GB"/>
        </w:rPr>
        <w:t>  </w:t>
      </w:r>
    </w:p>
    <w:tbl>
      <w:tblPr>
        <w:tblW w:w="1559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1403"/>
        <w:gridCol w:w="8505"/>
      </w:tblGrid>
      <w:tr w:rsidR="00A30822" w:rsidRPr="00971EFA" w14:paraId="6E3FC5C2" w14:textId="77777777" w:rsidTr="00A30822">
        <w:trPr>
          <w:trHeight w:val="300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348998" w14:textId="77777777" w:rsidR="00971EFA" w:rsidRPr="00971EFA" w:rsidRDefault="00971EFA" w:rsidP="00971E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b/>
                <w:bCs/>
                <w:lang w:eastAsia="en-GB"/>
              </w:rPr>
              <w:t>Have you...?</w:t>
            </w:r>
            <w:r w:rsidRPr="00971EF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9929D0" w14:textId="77777777" w:rsidR="00971EFA" w:rsidRPr="00971EFA" w:rsidRDefault="00971EFA" w:rsidP="00971E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b/>
                <w:bCs/>
                <w:lang w:eastAsia="en-GB"/>
              </w:rPr>
              <w:t>Target Date for completion</w:t>
            </w:r>
            <w:r w:rsidRPr="00971EF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A08A5C" w14:textId="77777777" w:rsidR="00971EFA" w:rsidRPr="00971EFA" w:rsidRDefault="00971EFA" w:rsidP="00971E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b/>
                <w:bCs/>
                <w:lang w:eastAsia="en-GB"/>
              </w:rPr>
              <w:t>Who can guide &amp; support me?</w:t>
            </w:r>
            <w:r w:rsidRPr="00971EF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</w:tr>
      <w:tr w:rsidR="00A30822" w:rsidRPr="00971EFA" w14:paraId="1C96B252" w14:textId="77777777" w:rsidTr="00A30822">
        <w:trPr>
          <w:trHeight w:val="990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BEC5B34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Familiarised yourself with the PGR Development Hub and the PGR Development Brochure </w:t>
            </w:r>
          </w:p>
          <w:p w14:paraId="4F6584BE" w14:textId="77777777" w:rsidR="00971EFA" w:rsidRPr="00971EFA" w:rsidRDefault="00971EFA" w:rsidP="00971EF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F55D8" w14:textId="77777777" w:rsidR="00971EFA" w:rsidRPr="00971EFA" w:rsidRDefault="00971EFA" w:rsidP="00971EF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  </w:t>
            </w:r>
          </w:p>
          <w:p w14:paraId="75FEA733" w14:textId="77777777" w:rsidR="00971EFA" w:rsidRPr="00971EFA" w:rsidRDefault="00971EFA" w:rsidP="00971EF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4472C4"/>
                <w:lang w:eastAsia="en-GB"/>
              </w:rPr>
              <w:t> 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7071F" w14:textId="77777777" w:rsidR="00971EFA" w:rsidRPr="00971EFA" w:rsidRDefault="00971EFA" w:rsidP="00971EFA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8" w:tgtFrame="_blank" w:history="1">
              <w:r w:rsidRPr="00971EFA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PGR Development Hub - Researcher Hub - University of Liverpool</w:t>
              </w:r>
            </w:hyperlink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9AF38FC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22269" w:rsidRPr="00971EFA" w14:paraId="2F034770" w14:textId="77777777" w:rsidTr="00A30822">
        <w:trPr>
          <w:trHeight w:val="990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72B1C" w14:textId="77777777" w:rsidR="00222269" w:rsidRDefault="00222269" w:rsidP="00971E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Ensured you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are connected with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</w:t>
            </w:r>
            <w:r w:rsidR="00A30822">
              <w:rPr>
                <w:rFonts w:ascii="Calibri" w:eastAsia="Times New Roman" w:hAnsi="Calibri" w:cs="Calibri"/>
                <w:color w:val="000000"/>
                <w:lang w:eastAsia="en-GB"/>
              </w:rPr>
              <w:t>PGR Supervisors Network on Canvas</w:t>
            </w:r>
          </w:p>
          <w:p w14:paraId="672A6659" w14:textId="77777777" w:rsidR="00A30822" w:rsidRDefault="00A30822" w:rsidP="00971E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825D8CA" w14:textId="77777777" w:rsidR="00A30822" w:rsidRDefault="00A30822" w:rsidP="00A3082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A30822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On this site you will find a wide range of training and support for developing your practice as a PGR supervisor. These resources are designed to make you reflect on your current practice as a supervisor, to help you make deliberate choices in how you approach your supervisory practice, and to underpin your practice with scholarly evidence</w:t>
            </w:r>
            <w:r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.</w:t>
            </w:r>
          </w:p>
          <w:p w14:paraId="0A37501D" w14:textId="77777777" w:rsidR="00A30822" w:rsidRDefault="00A30822" w:rsidP="00A3082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</w:p>
          <w:p w14:paraId="22DC299B" w14:textId="77777777" w:rsidR="00A30822" w:rsidRPr="00A30822" w:rsidRDefault="00A30822" w:rsidP="00A3082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A30822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On the Canvas site, you can access compulsory online training modules for new supervisors and internal examiners, as well as a wide range of further developmental support. You will also find information about our upcoming PGR Supervisors Network seminars.</w:t>
            </w:r>
          </w:p>
          <w:p w14:paraId="5DAB6C7B" w14:textId="77777777" w:rsidR="00A30822" w:rsidRPr="00971EFA" w:rsidRDefault="00A30822" w:rsidP="00971E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B378F" w14:textId="77777777" w:rsidR="00222269" w:rsidRPr="00971EFA" w:rsidRDefault="00222269" w:rsidP="00971EFA">
            <w:p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A7624" w14:textId="77777777" w:rsidR="00222269" w:rsidRDefault="00A30822" w:rsidP="00971EFA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30822">
              <w:rPr>
                <w:rFonts w:ascii="Calibri" w:eastAsia="Times New Roman" w:hAnsi="Calibri" w:cs="Calibri"/>
                <w:lang w:eastAsia="en-GB"/>
              </w:rPr>
              <w:t>To self-enrol on this Canvas site, please go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30822">
              <w:rPr>
                <w:rFonts w:ascii="Calibri" w:eastAsia="Times New Roman" w:hAnsi="Calibri" w:cs="Calibri"/>
                <w:lang w:eastAsia="en-GB"/>
              </w:rPr>
              <w:t>to: </w:t>
            </w:r>
            <w:hyperlink r:id="rId9" w:history="1">
              <w:r w:rsidRPr="00CA2A5A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https://liverpool.instructure.com/enroll/ETMCC4</w:t>
              </w:r>
            </w:hyperlink>
          </w:p>
          <w:p w14:paraId="0791A4E3" w14:textId="77777777" w:rsidR="00A30822" w:rsidRPr="00971EFA" w:rsidRDefault="00A30822" w:rsidP="00971EFA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Full information about support for PGR Supervisors and development opportunities open to you is available here: </w:t>
            </w:r>
            <w:hyperlink r:id="rId10" w:history="1">
              <w:r>
                <w:rPr>
                  <w:rStyle w:val="Hyperlink"/>
                </w:rPr>
                <w:t>PGR Supervisor Development - Academic Development - University of Liverpool</w:t>
              </w:r>
            </w:hyperlink>
          </w:p>
        </w:tc>
      </w:tr>
      <w:tr w:rsidR="00A30822" w:rsidRPr="00971EFA" w14:paraId="72B48AE0" w14:textId="77777777" w:rsidTr="00A30822">
        <w:trPr>
          <w:trHeight w:val="735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285BE57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Accessed the Vitae Researcher Development Framework (RDF) to identify the key skills and domains to target. </w:t>
            </w:r>
          </w:p>
          <w:p w14:paraId="01512BE8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AA44AA6" w14:textId="77777777" w:rsidR="00971EFA" w:rsidRPr="00971EFA" w:rsidRDefault="00971EFA" w:rsidP="00971E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i/>
                <w:iCs/>
                <w:lang w:eastAsia="en-GB"/>
              </w:rPr>
              <w:lastRenderedPageBreak/>
              <w:t>PGRs also have access to LinkedIn Learning (</w:t>
            </w:r>
            <w:r w:rsidRPr="00971EFA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formerly known as Lynda.com, this is a leading online learning platform that helps anyone to learn business, software, technology, and creative skills to achieve personal and professional goals),</w:t>
            </w:r>
            <w:r w:rsidRPr="00971EFA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see link in far column.</w:t>
            </w: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DA70637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77777777" w:rsidR="00971EFA" w:rsidRPr="00971EFA" w:rsidRDefault="00971EFA" w:rsidP="00971EF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  <w:p w14:paraId="4136F821" w14:textId="77777777" w:rsidR="00971EFA" w:rsidRPr="00971EFA" w:rsidRDefault="00971EFA" w:rsidP="00971EF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C49DD" w14:textId="77777777" w:rsidR="00971EFA" w:rsidRPr="00971EFA" w:rsidRDefault="00971EFA" w:rsidP="00971EFA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11" w:tgtFrame="_blank" w:history="1">
              <w:r w:rsidRPr="00971EFA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Researcher Development Framework (RDF) - Researcher Hub - University of Liverpool</w:t>
              </w:r>
            </w:hyperlink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B11D060" w14:textId="77777777" w:rsidR="00971EFA" w:rsidRPr="00971EFA" w:rsidRDefault="00971EFA" w:rsidP="00971EFA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12" w:tgtFrame="_blank" w:history="1">
              <w:r w:rsidRPr="00971EFA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https://www.liverpool.ac.uk/researcher/development/online/vitae/</w:t>
              </w:r>
            </w:hyperlink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30822" w:rsidRPr="00971EFA" w14:paraId="76B19AEB" w14:textId="77777777" w:rsidTr="00A30822">
        <w:trPr>
          <w:trHeight w:val="990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5A61EFF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Liaised with your </w:t>
            </w:r>
            <w:r w:rsidR="00222269">
              <w:rPr>
                <w:rFonts w:ascii="Calibri" w:eastAsia="Times New Roman" w:hAnsi="Calibri" w:cs="Calibri"/>
                <w:color w:val="000000"/>
                <w:lang w:eastAsia="en-GB"/>
              </w:rPr>
              <w:t>PGR</w:t>
            </w: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complete </w:t>
            </w:r>
            <w:r w:rsidR="00222269">
              <w:rPr>
                <w:rFonts w:ascii="Calibri" w:eastAsia="Times New Roman" w:hAnsi="Calibri" w:cs="Calibri"/>
                <w:color w:val="000000"/>
                <w:lang w:eastAsia="en-GB"/>
              </w:rPr>
              <w:t>their</w:t>
            </w: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Development Needs Analysis (DNA) </w:t>
            </w:r>
            <w:r w:rsidR="00222269">
              <w:rPr>
                <w:rFonts w:ascii="Calibri" w:eastAsia="Times New Roman" w:hAnsi="Calibri" w:cs="Calibri"/>
                <w:color w:val="000000"/>
                <w:lang w:eastAsia="en-GB"/>
              </w:rPr>
              <w:t>together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B31F" w14:textId="77777777" w:rsidR="00971EFA" w:rsidRPr="00971EFA" w:rsidRDefault="00971EFA" w:rsidP="00971EF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1822F" w14:textId="77777777" w:rsidR="00971EFA" w:rsidRPr="00971EFA" w:rsidRDefault="00971EFA" w:rsidP="00971EFA">
            <w:pPr>
              <w:numPr>
                <w:ilvl w:val="0"/>
                <w:numId w:val="3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 xml:space="preserve">You can access this via the PGR Development space on Canvas and it will be sent to </w:t>
            </w:r>
            <w:r w:rsidR="00222269">
              <w:rPr>
                <w:rFonts w:ascii="Calibri" w:eastAsia="Times New Roman" w:hAnsi="Calibri" w:cs="Calibri"/>
                <w:lang w:eastAsia="en-GB"/>
              </w:rPr>
              <w:t>PGRs</w:t>
            </w:r>
            <w:r w:rsidRPr="00971EFA">
              <w:rPr>
                <w:rFonts w:ascii="Calibri" w:eastAsia="Times New Roman" w:hAnsi="Calibri" w:cs="Calibri"/>
                <w:lang w:eastAsia="en-GB"/>
              </w:rPr>
              <w:t xml:space="preserve"> by </w:t>
            </w:r>
            <w:r w:rsidR="00222269">
              <w:rPr>
                <w:rFonts w:ascii="Calibri" w:eastAsia="Times New Roman" w:hAnsi="Calibri" w:cs="Calibri"/>
                <w:lang w:eastAsia="en-GB"/>
              </w:rPr>
              <w:t>their</w:t>
            </w:r>
            <w:r w:rsidRPr="00971EFA">
              <w:rPr>
                <w:rFonts w:ascii="Calibri" w:eastAsia="Times New Roman" w:hAnsi="Calibri" w:cs="Calibri"/>
                <w:lang w:eastAsia="en-GB"/>
              </w:rPr>
              <w:t xml:space="preserve"> faculty. </w:t>
            </w:r>
          </w:p>
        </w:tc>
      </w:tr>
      <w:tr w:rsidR="00A30822" w:rsidRPr="00971EFA" w14:paraId="6FE28EC8" w14:textId="77777777" w:rsidTr="00A30822">
        <w:trPr>
          <w:trHeight w:val="855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989C4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Ma</w:t>
            </w:r>
            <w:r w:rsidR="00222269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 sure </w:t>
            </w:r>
            <w:r w:rsidR="00222269">
              <w:rPr>
                <w:rFonts w:ascii="Calibri" w:eastAsia="Times New Roman" w:hAnsi="Calibri" w:cs="Calibri"/>
                <w:color w:val="000000"/>
                <w:lang w:eastAsia="en-GB"/>
              </w:rPr>
              <w:t>they know how to</w:t>
            </w: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access the PGR Development module on canvas to gain access to relevant development modules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971EFA" w:rsidRPr="00971EFA" w:rsidRDefault="00971EFA" w:rsidP="00971EF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CDE08" w14:textId="77777777" w:rsidR="00971EFA" w:rsidRPr="00971EFA" w:rsidRDefault="00971EFA" w:rsidP="00971EFA">
            <w:pPr>
              <w:numPr>
                <w:ilvl w:val="0"/>
                <w:numId w:val="4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 xml:space="preserve">All PGRs are automatically enrolled on registration, or </w:t>
            </w:r>
            <w:r w:rsidR="00222269">
              <w:rPr>
                <w:rFonts w:ascii="Calibri" w:eastAsia="Times New Roman" w:hAnsi="Calibri" w:cs="Calibri"/>
                <w:lang w:eastAsia="en-GB"/>
              </w:rPr>
              <w:t>they</w:t>
            </w:r>
            <w:r w:rsidRPr="00971EFA">
              <w:rPr>
                <w:rFonts w:ascii="Calibri" w:eastAsia="Times New Roman" w:hAnsi="Calibri" w:cs="Calibri"/>
                <w:lang w:eastAsia="en-GB"/>
              </w:rPr>
              <w:t xml:space="preserve"> can self-enrol using </w:t>
            </w:r>
            <w:hyperlink r:id="rId13" w:tgtFrame="_blank" w:history="1">
              <w:r w:rsidRPr="00CA2A5A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this link</w:t>
              </w:r>
            </w:hyperlink>
            <w:r w:rsidRPr="00CA2A5A">
              <w:rPr>
                <w:rFonts w:ascii="Calibri" w:eastAsia="Times New Roman" w:hAnsi="Calibri" w:cs="Calibri"/>
                <w:lang w:eastAsia="en-GB"/>
              </w:rPr>
              <w:t>.</w:t>
            </w:r>
            <w:r w:rsidRPr="00971EFA">
              <w:rPr>
                <w:rFonts w:ascii="Calibri" w:eastAsia="Times New Roman" w:hAnsi="Calibri" w:cs="Calibri"/>
                <w:lang w:eastAsia="en-GB"/>
              </w:rPr>
              <w:t>  </w:t>
            </w:r>
          </w:p>
        </w:tc>
      </w:tr>
      <w:tr w:rsidR="00A30822" w:rsidRPr="00971EFA" w14:paraId="4BCDDD5D" w14:textId="77777777" w:rsidTr="00A30822">
        <w:trPr>
          <w:trHeight w:val="570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DDF42" w14:textId="77777777" w:rsidR="00971EFA" w:rsidRPr="00971EFA" w:rsidRDefault="00222269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Directed your PGR to b</w:t>
            </w:r>
            <w:r w:rsidR="00971EFA"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rowse, ident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ify</w:t>
            </w:r>
            <w:r w:rsidR="00971EFA"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book a place at any relevant sessions with The Academy’s PGR Development Team 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971EFA" w:rsidRPr="00971EFA" w:rsidRDefault="00971EFA" w:rsidP="00971EF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603E3" w14:textId="77777777" w:rsidR="00971EFA" w:rsidRPr="00222269" w:rsidRDefault="00222269" w:rsidP="00222269">
            <w:pPr>
              <w:numPr>
                <w:ilvl w:val="0"/>
                <w:numId w:val="4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>
                <w:rPr>
                  <w:rStyle w:val="Hyperlink"/>
                </w:rPr>
                <w:t>PGR Development Hub - Researcher Hub - University of Liverpool</w:t>
              </w:r>
            </w:hyperlink>
          </w:p>
        </w:tc>
      </w:tr>
      <w:tr w:rsidR="00A30822" w:rsidRPr="00971EFA" w14:paraId="75B195A5" w14:textId="77777777" w:rsidTr="00A30822">
        <w:trPr>
          <w:trHeight w:val="1245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7231882" w14:textId="0750C615" w:rsidR="00971EFA" w:rsidRPr="00971EFA" w:rsidRDefault="00222269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Promoted participation in</w:t>
            </w:r>
            <w:r w:rsidR="00971EFA"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PGR Development </w:t>
            </w:r>
            <w:r w:rsidR="00CA2A5A">
              <w:rPr>
                <w:rFonts w:ascii="Calibri" w:eastAsia="Times New Roman" w:hAnsi="Calibri" w:cs="Calibri"/>
                <w:color w:val="000000"/>
                <w:lang w:eastAsia="en-GB"/>
              </w:rPr>
              <w:t>Group</w:t>
            </w:r>
            <w:r w:rsidR="00971EFA"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</w:t>
            </w:r>
            <w:r w:rsidR="00CA2A5A">
              <w:rPr>
                <w:rFonts w:ascii="Calibri" w:eastAsia="Times New Roman" w:hAnsi="Calibri" w:cs="Calibri"/>
                <w:color w:val="000000"/>
                <w:lang w:eastAsia="en-GB"/>
              </w:rPr>
              <w:t>DG</w:t>
            </w:r>
            <w:r w:rsidR="00971EFA"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)  </w:t>
            </w:r>
          </w:p>
          <w:p w14:paraId="5E3886A4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A2B76BE" w14:textId="7B82570D" w:rsidR="00971EFA" w:rsidRPr="00971EFA" w:rsidRDefault="00971EFA" w:rsidP="00971E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The </w:t>
            </w:r>
            <w:r w:rsidR="00CA2A5A">
              <w:rPr>
                <w:rFonts w:ascii="Calibri" w:eastAsia="Times New Roman" w:hAnsi="Calibri" w:cs="Calibri"/>
                <w:i/>
                <w:iCs/>
                <w:lang w:eastAsia="en-GB"/>
              </w:rPr>
              <w:t>PDG</w:t>
            </w:r>
            <w:r w:rsidRPr="00971EFA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e-bulletin is sent out </w:t>
            </w:r>
            <w:r w:rsidR="00CA2A5A">
              <w:rPr>
                <w:rFonts w:ascii="Calibri" w:eastAsia="Times New Roman" w:hAnsi="Calibri" w:cs="Calibri"/>
                <w:i/>
                <w:iCs/>
                <w:lang w:eastAsia="en-GB"/>
              </w:rPr>
              <w:t>regularly with all their activities and networking opportunities available.</w:t>
            </w:r>
          </w:p>
          <w:p w14:paraId="4ECEB114" w14:textId="77777777" w:rsidR="00971EFA" w:rsidRPr="00971EFA" w:rsidRDefault="00971EFA" w:rsidP="00971E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77777777" w:rsidR="00971EFA" w:rsidRPr="00971EFA" w:rsidRDefault="00971EFA" w:rsidP="00971EF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05B57" w14:textId="43C397E9" w:rsidR="00971EFA" w:rsidRPr="00971EFA" w:rsidRDefault="00CA2A5A" w:rsidP="00971EFA">
            <w:pPr>
              <w:numPr>
                <w:ilvl w:val="0"/>
                <w:numId w:val="6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15" w:history="1">
              <w:r>
                <w:rPr>
                  <w:rStyle w:val="Hyperlink"/>
                </w:rPr>
                <w:t>PGR Development Hub - Researcher Hub - University of Liverpool</w:t>
              </w:r>
            </w:hyperlink>
          </w:p>
        </w:tc>
      </w:tr>
      <w:tr w:rsidR="00A30822" w:rsidRPr="00971EFA" w14:paraId="4084219B" w14:textId="77777777" w:rsidTr="00A30822">
        <w:trPr>
          <w:trHeight w:val="300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FFD5C24" w14:textId="77777777" w:rsidR="00971EFA" w:rsidRDefault="00222269" w:rsidP="00971E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Encouraged your PGR to participate</w:t>
            </w:r>
            <w:r w:rsidR="00971EFA"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the PGR-Postdoc Buddy Scheme </w:t>
            </w:r>
          </w:p>
          <w:p w14:paraId="6A05A809" w14:textId="77777777" w:rsidR="00222269" w:rsidRPr="00971EFA" w:rsidRDefault="00222269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38A42" w14:textId="77777777" w:rsidR="00971EFA" w:rsidRPr="00971EFA" w:rsidRDefault="00971EFA" w:rsidP="00971EFA">
            <w:pPr>
              <w:numPr>
                <w:ilvl w:val="0"/>
                <w:numId w:val="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16" w:tgtFrame="_blank" w:history="1">
              <w:r w:rsidRPr="00971EFA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Buddy Scheme - Researcher Hub - University of Liverpool</w:t>
              </w:r>
            </w:hyperlink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E6F60B5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30822" w:rsidRPr="00971EFA" w14:paraId="301FB4D4" w14:textId="77777777" w:rsidTr="00A30822">
        <w:trPr>
          <w:trHeight w:val="405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18C5CA7" w14:textId="77777777" w:rsidR="00971EFA" w:rsidRPr="00971EFA" w:rsidRDefault="00222269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Encouraged your PGR to participate in</w:t>
            </w:r>
            <w:r w:rsidR="00971EFA"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supported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their </w:t>
            </w:r>
            <w:r w:rsidR="00971EFA"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peers in the Three Minute Thesis Competition </w:t>
            </w:r>
          </w:p>
          <w:p w14:paraId="365DB198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1AB11" w14:textId="77777777" w:rsidR="00971EFA" w:rsidRPr="00971EFA" w:rsidRDefault="00971EFA" w:rsidP="00971EFA">
            <w:pPr>
              <w:numPr>
                <w:ilvl w:val="0"/>
                <w:numId w:val="8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hyperlink r:id="rId17" w:tgtFrame="_blank" w:history="1">
              <w:r w:rsidRPr="00971EFA">
                <w:rPr>
                  <w:rFonts w:ascii="Calibri" w:eastAsia="Times New Roman" w:hAnsi="Calibri" w:cs="Calibri"/>
                  <w:color w:val="0000FF"/>
                  <w:u w:val="single"/>
                  <w:lang w:eastAsia="en-GB"/>
                </w:rPr>
                <w:t>Three Minute Thesis - Researcher Hub - University of Liverpool</w:t>
              </w:r>
            </w:hyperlink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BC5EC03" w14:textId="77777777" w:rsidR="00971EFA" w:rsidRPr="00971EFA" w:rsidRDefault="00971EFA" w:rsidP="00971E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1E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10686" w:rsidRPr="00971EFA" w14:paraId="677CD265" w14:textId="77777777" w:rsidTr="00A30822">
        <w:trPr>
          <w:trHeight w:val="1515"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26132" w14:textId="77777777" w:rsidR="00610686" w:rsidRDefault="00610686" w:rsidP="0061068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  <w:p w14:paraId="7B179BBE" w14:textId="77777777" w:rsidR="00610686" w:rsidRDefault="00610686" w:rsidP="0061068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24AFF4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Followed PGR Development and the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PDG</w:t>
            </w:r>
            <w:r w:rsidRPr="224AFF4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on social media </w:t>
            </w:r>
          </w:p>
          <w:p w14:paraId="53BECD65" w14:textId="77777777" w:rsidR="00610686" w:rsidRDefault="00610686" w:rsidP="0061068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  <w:p w14:paraId="59DA81D1" w14:textId="77777777" w:rsidR="00610686" w:rsidRDefault="00610686" w:rsidP="0061068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bookmarkStart w:id="0" w:name="_Int_l78IVBvk"/>
            <w:r w:rsidRPr="2209E8ED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>An easy way</w:t>
            </w:r>
            <w:bookmarkEnd w:id="0"/>
            <w:r w:rsidRPr="2209E8ED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 xml:space="preserve"> to keep up to date with upcoming events, changes in process and to celebrate your own and one another’s success. Details of accounts to follow are in the end column.</w:t>
            </w:r>
          </w:p>
          <w:p w14:paraId="6B515302" w14:textId="212962DC" w:rsidR="00610686" w:rsidRPr="00971EFA" w:rsidRDefault="00610686" w:rsidP="006106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2EB31EDF" w:rsidR="00610686" w:rsidRPr="00971EFA" w:rsidRDefault="00610686" w:rsidP="0061068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6372B" w14:textId="1F3F2883" w:rsidR="00610686" w:rsidRPr="00971EFA" w:rsidRDefault="00610686" w:rsidP="00610686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224AFF4B">
              <w:rPr>
                <w:rFonts w:ascii="Calibri" w:eastAsia="Calibri" w:hAnsi="Calibri" w:cs="Calibri"/>
              </w:rPr>
              <w:t xml:space="preserve"> Follow us on </w:t>
            </w:r>
            <w:r>
              <w:rPr>
                <w:rFonts w:ascii="Calibri" w:eastAsia="Calibri" w:hAnsi="Calibri" w:cs="Calibri"/>
              </w:rPr>
              <w:t xml:space="preserve">BlueSky @uolpgrdevelopment including the Academy’s LinkedIn page. </w:t>
            </w:r>
            <w:r w:rsidRPr="224AFF4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67F89F6" w14:textId="77777777" w:rsidR="00971EFA" w:rsidRPr="00971EFA" w:rsidRDefault="00971EFA" w:rsidP="00971E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71EFA">
        <w:rPr>
          <w:rFonts w:ascii="Calibri" w:eastAsia="Times New Roman" w:hAnsi="Calibri" w:cs="Calibri"/>
          <w:lang w:eastAsia="en-GB"/>
        </w:rPr>
        <w:t>  </w:t>
      </w:r>
    </w:p>
    <w:p w14:paraId="5A39BBE3" w14:textId="77777777" w:rsidR="009C7658" w:rsidRDefault="009C7658"/>
    <w:sectPr w:rsidR="009C7658" w:rsidSect="00971E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6E18"/>
    <w:multiLevelType w:val="multilevel"/>
    <w:tmpl w:val="B70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F0C56"/>
    <w:multiLevelType w:val="multilevel"/>
    <w:tmpl w:val="CFA0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A0FC7"/>
    <w:multiLevelType w:val="multilevel"/>
    <w:tmpl w:val="100C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F2137E"/>
    <w:multiLevelType w:val="multilevel"/>
    <w:tmpl w:val="D92C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938D3"/>
    <w:multiLevelType w:val="multilevel"/>
    <w:tmpl w:val="8C2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CC6D8C"/>
    <w:multiLevelType w:val="multilevel"/>
    <w:tmpl w:val="AC18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C922E6"/>
    <w:multiLevelType w:val="hybridMultilevel"/>
    <w:tmpl w:val="0538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743C"/>
    <w:multiLevelType w:val="hybridMultilevel"/>
    <w:tmpl w:val="CDEA0E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940E2B"/>
    <w:multiLevelType w:val="multilevel"/>
    <w:tmpl w:val="739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115F4E"/>
    <w:multiLevelType w:val="multilevel"/>
    <w:tmpl w:val="E12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4B2CA5"/>
    <w:multiLevelType w:val="multilevel"/>
    <w:tmpl w:val="C2F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8434387">
    <w:abstractNumId w:val="5"/>
  </w:num>
  <w:num w:numId="2" w16cid:durableId="1631281101">
    <w:abstractNumId w:val="10"/>
  </w:num>
  <w:num w:numId="3" w16cid:durableId="946618721">
    <w:abstractNumId w:val="9"/>
  </w:num>
  <w:num w:numId="4" w16cid:durableId="1278412285">
    <w:abstractNumId w:val="4"/>
  </w:num>
  <w:num w:numId="5" w16cid:durableId="354768462">
    <w:abstractNumId w:val="0"/>
  </w:num>
  <w:num w:numId="6" w16cid:durableId="673842505">
    <w:abstractNumId w:val="2"/>
  </w:num>
  <w:num w:numId="7" w16cid:durableId="1848671981">
    <w:abstractNumId w:val="3"/>
  </w:num>
  <w:num w:numId="8" w16cid:durableId="1620987220">
    <w:abstractNumId w:val="1"/>
  </w:num>
  <w:num w:numId="9" w16cid:durableId="1695425447">
    <w:abstractNumId w:val="8"/>
  </w:num>
  <w:num w:numId="10" w16cid:durableId="1241915289">
    <w:abstractNumId w:val="7"/>
  </w:num>
  <w:num w:numId="11" w16cid:durableId="767121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FA"/>
    <w:rsid w:val="001507CB"/>
    <w:rsid w:val="00222269"/>
    <w:rsid w:val="003A25E4"/>
    <w:rsid w:val="00411C6E"/>
    <w:rsid w:val="004461E7"/>
    <w:rsid w:val="00610686"/>
    <w:rsid w:val="00971EFA"/>
    <w:rsid w:val="009C7658"/>
    <w:rsid w:val="00A30822"/>
    <w:rsid w:val="00C61EF9"/>
    <w:rsid w:val="00CA2A5A"/>
    <w:rsid w:val="00D95440"/>
    <w:rsid w:val="00DA1C81"/>
    <w:rsid w:val="00E32E69"/>
    <w:rsid w:val="00EC234E"/>
    <w:rsid w:val="00EC6654"/>
    <w:rsid w:val="0F84DCA1"/>
    <w:rsid w:val="76CFE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9D4D"/>
  <w15:chartTrackingRefBased/>
  <w15:docId w15:val="{7B926875-0CDB-4687-8015-4F943FE3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1EFA"/>
  </w:style>
  <w:style w:type="character" w:customStyle="1" w:styleId="eop">
    <w:name w:val="eop"/>
    <w:basedOn w:val="DefaultParagraphFont"/>
    <w:rsid w:val="00971EFA"/>
  </w:style>
  <w:style w:type="character" w:styleId="Hyperlink">
    <w:name w:val="Hyperlink"/>
    <w:basedOn w:val="DefaultParagraphFont"/>
    <w:uiPriority w:val="99"/>
    <w:unhideWhenUsed/>
    <w:rsid w:val="002222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2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researcher/pgr-development/" TargetMode="External"/><Relationship Id="rId13" Type="http://schemas.openxmlformats.org/officeDocument/2006/relationships/hyperlink" Target="https://canvas.liverpool.ac.uk/enroll/NKL8M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verpool.ac.uk/researcher/development/online/vitae/" TargetMode="External"/><Relationship Id="rId17" Type="http://schemas.openxmlformats.org/officeDocument/2006/relationships/hyperlink" Target="https://www.liverpool.ac.uk/researcher/pgr-development/3m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verpool.ac.uk/researcher/pgr-development-network/pgr-rsa-buddy-schem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verpool.ac.uk/researcher/pgr-development/rdf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verpool.ac.uk/researcher/pgr-development/" TargetMode="External"/><Relationship Id="rId10" Type="http://schemas.openxmlformats.org/officeDocument/2006/relationships/hyperlink" Target="https://www.liverpool.ac.uk/eddev/supervisor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liverpool.instructure.com/enroll/ETMCC4" TargetMode="External"/><Relationship Id="rId14" Type="http://schemas.openxmlformats.org/officeDocument/2006/relationships/hyperlink" Target="https://www.liverpool.ac.uk/researcher/pgr-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D6F51E14C348AB9C308D910549D0" ma:contentTypeVersion="14" ma:contentTypeDescription="Create a new document." ma:contentTypeScope="" ma:versionID="ce15842f7a83739e3dad9ab1cfe479e1">
  <xsd:schema xmlns:xsd="http://www.w3.org/2001/XMLSchema" xmlns:xs="http://www.w3.org/2001/XMLSchema" xmlns:p="http://schemas.microsoft.com/office/2006/metadata/properties" xmlns:ns2="80317770-fc11-4741-bce2-239c0d249e30" xmlns:ns3="b605b6b6-8364-469d-8d5f-0fd82433a602" targetNamespace="http://schemas.microsoft.com/office/2006/metadata/properties" ma:root="true" ma:fieldsID="ee3acc5cfb0169003ff085eba774a01d" ns2:_="" ns3:_="">
    <xsd:import namespace="80317770-fc11-4741-bce2-239c0d249e30"/>
    <xsd:import namespace="b605b6b6-8364-469d-8d5f-0fd82433a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7770-fc11-4741-bce2-239c0d249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b6b6-8364-469d-8d5f-0fd82433a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12d523-2779-451a-acd3-a6527896f758}" ma:internalName="TaxCatchAll" ma:showField="CatchAllData" ma:web="b605b6b6-8364-469d-8d5f-0fd82433a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17770-fc11-4741-bce2-239c0d249e30">
      <Terms xmlns="http://schemas.microsoft.com/office/infopath/2007/PartnerControls"/>
    </lcf76f155ced4ddcb4097134ff3c332f>
    <TaxCatchAll xmlns="b605b6b6-8364-469d-8d5f-0fd82433a602" xsi:nil="true"/>
  </documentManagement>
</p:properties>
</file>

<file path=customXml/itemProps1.xml><?xml version="1.0" encoding="utf-8"?>
<ds:datastoreItem xmlns:ds="http://schemas.openxmlformats.org/officeDocument/2006/customXml" ds:itemID="{4D7C4271-47A1-43BD-B143-7FAD254AA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47053-C56E-4AC3-97A3-CBD7695C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7770-fc11-4741-bce2-239c0d249e30"/>
    <ds:schemaRef ds:uri="b605b6b6-8364-469d-8d5f-0fd82433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CEF93-017E-4A28-8BB5-BA76E13146FC}">
  <ds:schemaRefs>
    <ds:schemaRef ds:uri="http://schemas.microsoft.com/office/2006/metadata/properties"/>
    <ds:schemaRef ds:uri="http://schemas.microsoft.com/office/infopath/2007/PartnerControls"/>
    <ds:schemaRef ds:uri="80317770-fc11-4741-bce2-239c0d249e30"/>
    <ds:schemaRef ds:uri="b605b6b6-8364-469d-8d5f-0fd82433a6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3849</Characters>
  <Application>Microsoft Office Word</Application>
  <DocSecurity>0</DocSecurity>
  <Lines>32</Lines>
  <Paragraphs>9</Paragraphs>
  <ScaleCrop>false</ScaleCrop>
  <Company>The University of Liverpool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Lois [loist]</dc:creator>
  <cp:keywords/>
  <dc:description/>
  <cp:lastModifiedBy>Simpson, Luke [lukesim]</cp:lastModifiedBy>
  <cp:revision>4</cp:revision>
  <dcterms:created xsi:type="dcterms:W3CDTF">2024-09-27T08:16:00Z</dcterms:created>
  <dcterms:modified xsi:type="dcterms:W3CDTF">2025-09-02T15:26:00Z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0x01010048A2D6F51E14C348AB9C308D910549D0</vt:lpwstr>
  </property>
  <property fmtid="{D5CDD505-2E9C-101B-9397-08002B2CF9AE}" pid="3" name="MediaServiceImageTags">
    <vt:lpwstr/>
  </property>
</Properties>
</file>