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RIMB017 – WORK-BASED STUDENT-DESIGNED PROJECT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WORK-BASED STUDENT-DESIGNED PROJECT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WORK-BASED PROJECT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RIMB017</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is a largely independent piece of study the shape scope and assessment criteria for which are defined by the student in consultation with the module leader. Preparatory guidance enables the student to design and carry out an independent project or piece of research within and relevant to the workplace.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Off-campus</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Semester 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PRINCIPLES AND PRACTICE OF APPRAISAL 2021-22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There are the following non-modular requirements: 
                <w:br/>
                Students taking the module as part of the DPS:RIM must have successfully complete the CPS:RIM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24.05.19.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25</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100302: History</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Reasonable costs including printing and text books.</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
                To enable the student to design and carry out an independent project or piece of research within and relevant to the workplace;  
                <w:br/>
                <w:br/>
                To provide the student with the relevant project management or research skills and techniques apporpriate for the specific project; 
                <w:br/>
                <w:br/>
                To enable the student to contribute to work-based business objectives through the completionof a relevant project.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The study skills day provides an introducation to generic methodologies including project management, risk assessment, user surveys, benchmarking, literature searching, report-writing, and presentation skills and an understanding of the nature of research, in particular, assessing a proposal's feasibility through examination of case studies of successful and unsuccessful projects.  
                <w:br/>
                A supervisory relationship is established to arrive at an agreed project, feasible methodology and assessed outputs, which takes into account both the student's interests and the constraints of the working environment.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http://readinglists.liverpool.ac.uk/modules/rimb017.html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http://readinglists.liverpool.ac.uk/modules/rimb017.html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http://readinglists.liverpool.ac.uk/modules/rimb017.html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http://readinglists.liverpool.ac.uk/modules/rimb017.html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Define a project, assess its feasibility and identify the appropriate tools and techniques required for successful completion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Undertake a project using the tools identified</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Present a report, portfolio or other appropriate project output to their workplace to the benefit of their organisation / work unit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Research management developing a research strategy, project planning and delivery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Research management formulating questions, collecting using data, applying research methods</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
                The assignment comprises a portfolio of reports or other outputs which may cover the feasibility, implementation and evaluation of the project undertaken.  The exact nature of the assessment outputs is arrived at through discussion between the student and supervisor.  student-defined and work-based project. 
                <w:br/>
                <w:br/>
                Anonymous assessment is not possible due to it being workplace specific.
              </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not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5000</w:t>
            </w:r>
          </w:p>
        </w:tc>
        <w:tc>
          <w:tcPr>
            <w:tcW w:w="1418" w:type="dxa"/>
          </w:tcPr>
          <w:p w:rsidRDefault="00682570" w:rsidP="005046A8">
            <w:pPr>
              <w:spacing w:after="120" w:line="259" w:lineRule="auto"/>
            </w:pPr>
            <w:r>
              <w:t>5000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2</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Group-work:
                <w:br/>
                Class discussion of project and research work, with critique of case studies.
                <w:br/>
                Self Directed Learning Hours (time spent away from the timetabled sessions but directed by the teaching staff): 144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
            </w:r>
          </w:p>
        </w:tc>
      </w:tr>
      <w:tr w:rsidTr="000A5247">
        <w:tc>
          <w:tcPr>
            <w:tcW w:w="2324" w:type="dxa"/>
          </w:tcPr>
          <w:p w:rsidRDefault="009E5838" w:rsidP="0039544F">
            <w:pPr>
              <w:spacing w:after="120" w:line="259" w:lineRule="auto"/>
            </w:pPr>
            <w:r>
              <w:t>Group Work</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6</w:t>
            </w:r>
          </w:p>
        </w:tc>
      </w:tr>
      <w:tr w:rsidTr="000A5247">
        <w:tc>
          <w:tcPr>
            <w:tcW w:w="2324" w:type="dxa"/>
          </w:tcPr>
          <w:p w:rsidRDefault="009E5838" w:rsidP="0039544F">
            <w:pPr>
              <w:spacing w:after="120" w:line="259" w:lineRule="auto"/>
            </w:pPr>
            <w:r>
              <w:t>Group Work (Unscheduled)</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144</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