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ARIM008 – ARCHIVES MANAGEMENT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ARCHIVES MANAGEMENT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ARCHIVES MANAGEMENT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ARIM008</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module is intended to enable students to understand the core processes involved in managing an archive repository, focusing on the custodial aspects of archives management. It encourages students to consider the activities that make up the archive management function, the professional practices that support them and practical considerations that arise in this management process. There is also practical guidance about putting learning into practice, including outlines of general management skills.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Online</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INTRODUCTION TO ARCHIVES AND RECORDS MANAGEMENT 2021-22, PRESERVATION MANAGEMENT 2021-22, PROCESSING RECORDS AND ARCHIVES 2021-22, REFERENCE AND USER SERVICES 2021-22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No</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Students must complete modules ARIM001-004 before commencing this module.  ARIM001-004 are the core modules required before continuing to diploma level where the student must complete four out of the seven specialist module choices.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26.07.19.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30</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100916: Information Services</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For full costs information, please see the University's website.</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 To provide detailed guidance on practical and conceptual issues relating to archives management.</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the module may include:
                <w:br/>
                <w:br/>
                Aims and objectives of a successful archives service; 
                <w:br/>
                <w:br/>
                Functions of an archives service; 
                <w:br/>
                <w:br/>
                Application of appropriate standards; 
                <w:br/>
                <w:br/>
                Importance of national policies and codes of ethics; 
                <w:br/>
                <w:br/>
                Collection policies; 
                <w:br/>
                <w:br/>
                Managing storage and retrieval; 
                <w:br/>
                <w:br/>
                Understanding appraisal;
                <w:br/>
                <w:br/>
                Arrangement, description and finding aids;
                <w:br/>
                <w:br/>
                Automating processes and networking finding aids;
                <w:br/>
                <w:br/>
                National and international developments.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http://readinglists.liverpool.ac.uk/modules/arim008.html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http://readinglists.liverpool.ac.uk/modules/arim008.html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http://readinglists.liverpool.ac.uk/modules/arim008.html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http://readinglists.liverpool.ac.uk/modules/arim008.html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http://readinglists.liverpool.ac.uk/modules/arim008.html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Recognise the key functions and processes of an archive service.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Identify the key professional standards and understand their general content.</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Identify the areas of concern that arise over the physical care of archives when in storage and being retrieved, and understand the actions needed to be taken to minimize those concerns and comply with professional standards.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Understand the process and logic underlying the 'intellectual care' of archives and know how to undertake each stage of this care, again to professionally acceptable standards.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Discuss the impact of ICT on archival practice.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LO6</w:t>
            </w:r>
          </w:p>
        </w:tc>
        <w:tc>
          <w:tcPr>
            <w:tcW w:w="10022" w:type="dxa"/>
          </w:tcPr>
          <w:p w:rsidRDefault="00626432" w:rsidP="0039544F">
            <w:pPr>
              <w:spacing w:after="120" w:line="259" w:lineRule="auto"/>
            </w:pPr>
            <w:r>
              <w:t>Recognise the important points of general management practice.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basic understanding of the key drivers for business success – including the importance of innovation and taking calculated risks – and the need to provide customer satisfaction and build customer loyalty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Communication and collaboration online participating in digital networks for learning and research</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Digital scholarship participating in emerging academic, professional and research practices that depend on digital systems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Information technology (application of) adopting, adapting and using digital devices, applications and services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Information literacy online, finding, interpreting, evaluating, managing and sharing information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S6</w:t>
            </w:r>
          </w:p>
        </w:tc>
        <w:tc>
          <w:tcPr>
            <w:tcW w:w="10022" w:type="dxa"/>
          </w:tcPr>
          <w:p w:rsidRDefault="00626432" w:rsidP="0039544F">
            <w:pPr>
              <w:spacing w:after="120" w:line="259" w:lineRule="auto"/>
            </w:pPr>
            <w:r>
              <w:t>Literacy application of literacy, ability to produce clear, structured written work and oral literacy - including listening and questioning</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S7</w:t>
            </w:r>
          </w:p>
        </w:tc>
        <w:tc>
          <w:tcPr>
            <w:tcW w:w="10022" w:type="dxa"/>
          </w:tcPr>
          <w:p w:rsidRDefault="00626432" w:rsidP="0039544F">
            <w:pPr>
              <w:spacing w:after="120" w:line="259" w:lineRule="auto"/>
            </w:pPr>
            <w:r>
              <w:t>Media literacy online critically reading and creatively producing academic and professional communications in a range of media</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S8</w:t>
            </w:r>
          </w:p>
        </w:tc>
        <w:tc>
          <w:tcPr>
            <w:tcW w:w="10022" w:type="dxa"/>
          </w:tcPr>
          <w:p w:rsidRDefault="00626432" w:rsidP="0039544F">
            <w:pPr>
              <w:spacing w:after="120" w:line="259" w:lineRule="auto"/>
            </w:pPr>
            <w:r>
              <w:t>Positive attitude/ self-confidence A 'can-do' approach, a readiness to take part and contribute; openness to new ideas and the drive to make these happen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S9</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S10</w:t>
            </w:r>
          </w:p>
        </w:tc>
        <w:tc>
          <w:tcPr>
            <w:tcW w:w="10022" w:type="dxa"/>
          </w:tcPr>
          <w:p w:rsidRDefault="00626432" w:rsidP="0039544F">
            <w:pPr>
              <w:spacing w:after="120" w:line="259" w:lineRule="auto"/>
            </w:pPr>
            <w:r>
              <w:t>Self-management readiness to accept responsibility (i.e. leadership), flexibility, resilience, self-starting, initiative, integrity, willingness to take risks, appropriate assertiveness, time management, readiness to improve own performance based on feedback/reflective learning</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Creation of an induction pack for a volunteer.</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3500</w:t>
            </w:r>
          </w:p>
        </w:tc>
        <w:tc>
          <w:tcPr>
            <w:tcW w:w="1418" w:type="dxa"/>
          </w:tcPr>
          <w:p w:rsidRDefault="00682570" w:rsidP="005046A8">
            <w:pPr>
              <w:spacing w:after="120" w:line="259" w:lineRule="auto"/>
            </w:pPr>
            <w:r>
              <w:t>No longer than 3,500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1</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Online Discussions:
                <w:br/>
                Learning blog.
                <w:br/>
                Notes: Learning blog via Canvas
                <w:br/>
                <w:br/>
                Online Quiz:
                <w:br/>
                Xerte-based test your learning quizzes, one per section.
                <w:br/>
                Notes: Test your learning quizzes designed to help students identify whether they have achieved learning outcomes.
                <w:br/>
                <w:br/>
                Practical:
                <w:br/>
                Suggested activities designed to offer practical work-based tasks associated with the learning outcomes.
                <w:br/>
                Notes: Activities are suggested for each section designed to enable practical application of the learning outcomes.
                <w:br/>
                <w:br/>
                Self-Directed Learning: Students are given access to online learning materials which they work through at their own speed across the 12 weeks of study. Learning materials include a learning blog, suggestions for work-based activities, further reading and test-your-learning quizzes.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