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ARIM007 – ADVOCATING ARCHIVES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ADVOCATING ARCHIVES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ADVOCATING ARCHIVES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ARIM007</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is one of the specialist modules for the Professional Diploma in Archives and Records Management. It has been designed to enable students to take a more in-depth look at an increasingly important area of professional concern - that of advocacy. Advocacy may not be a term which is immediately familiar but it covers a wide range of activities in which students may already be involved. This module aims to show them that advocacy is more than the sum of its parts: it involves ensuring that perceptions of archives and records management are accurate, ensuring that we are making the best use of our resources, that our services are targeted accurately and that we are serving our communities and stakeholders effectively. This module will help to show students what a dynamic and exciting area this is to be involved in.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Online</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Whole Session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Alexandrina Buchanan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INTRODUCTION TO ARCHIVES AND RECORDS MANAGEMENT 2021-22, PRESERVATION MANAGEMENT 2021-22, PROCESSING RECORDS AND ARCHIVES 2021-22, REFERENCE AND USER SERVICES 2021-22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Students must complete modules ARIM001-004 before commencing this module.  ARIM001-004 are the core modules required before continuing to diploma level where the student must complete four out of the seven specialist module choices.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26.07.19.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30</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100302: History</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For full costs information, please visit the University's website.</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To consider strategies for promoting the work of archives and records services both within the employing institution and to the wider community; to provide practical guidance on advocacy and outreach activities.</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Topics covered during the module may include:
                <w:br/>
                <w:br/>
                The purposes and uses of advocacy;
                <w:br/>
                <w:br/>
                Principles underlying advocacy; 
                <w:br/>
                <w:br/>
                Advocacy, the profession and the community; 
                <w:br/>
                <w:br/>
                Advocacy in practice (publications,exhibitions, media opportunities, training, publicity events); measuring performance; communication skills.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http://readinglists.liverpool.ac.uk/modules/arim007.html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http://readinglists.liverpool.ac.uk/modules/arim007.html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http://readinglists.liverpool.ac.uk/modules/arim007.html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http://readinglists.liverpool.ac.uk/modules/arim007.html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Define advocacy, and appreciate its core importance within the archival mission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Explain what tools are available to help identify user needs.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Apply marketing theory and practice within a record-keeping environment.</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 Demonstrate awareness of major initiatives promoting the importance of records.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LO5</w:t>
            </w:r>
          </w:p>
        </w:tc>
        <w:tc>
          <w:tcPr>
            <w:tcW w:w="10022" w:type="dxa"/>
          </w:tcPr>
          <w:p w:rsidRDefault="00626432" w:rsidP="0039544F">
            <w:pPr>
              <w:spacing w:after="120" w:line="259" w:lineRule="auto"/>
            </w:pPr>
            <w:r>
              <w:t>Understand some of the different activities which can be used to promote records, and evaluate their effectiveness.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LO6</w:t>
            </w:r>
          </w:p>
        </w:tc>
        <w:tc>
          <w:tcPr>
            <w:tcW w:w="10022" w:type="dxa"/>
          </w:tcPr>
          <w:p w:rsidRDefault="00626432" w:rsidP="0039544F">
            <w:pPr>
              <w:spacing w:after="120" w:line="259" w:lineRule="auto"/>
            </w:pPr>
            <w:r>
              <w:t>Use the knowledge and skills gained to help formulate strategies within own organization.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 basic understanding of the key drivers for business success – including the importance of innovation and taking calculated risks – and the need to provide customer satisfaction and build customer loyalty</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Communication and collaboration online participating in digital networks for learning and research</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Learning skills online studying and learning effectively in technology-rich environments, formal and informal</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S4</w:t>
            </w:r>
          </w:p>
        </w:tc>
        <w:tc>
          <w:tcPr>
            <w:tcW w:w="10022" w:type="dxa"/>
          </w:tcPr>
          <w:p w:rsidRDefault="00626432" w:rsidP="0039544F">
            <w:pPr>
              <w:spacing w:after="120" w:line="259" w:lineRule="auto"/>
            </w:pPr>
            <w:r>
              <w:t>Information technology (application of) adopting, adapting and using digital devices, applications and services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S5</w:t>
            </w:r>
          </w:p>
        </w:tc>
        <w:tc>
          <w:tcPr>
            <w:tcW w:w="10022" w:type="dxa"/>
          </w:tcPr>
          <w:p w:rsidRDefault="00626432" w:rsidP="0039544F">
            <w:pPr>
              <w:spacing w:after="120" w:line="259" w:lineRule="auto"/>
            </w:pPr>
            <w:r>
              <w:t>Positive attitude/ self-confidence A 'can-do' approach, a readiness to take part and contribute; openness to new ideas and the drive to make these happen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S6</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Report on advocacy strategy.</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2000</w:t>
            </w:r>
          </w:p>
        </w:tc>
        <w:tc>
          <w:tcPr>
            <w:tcW w:w="1134" w:type="dxa"/>
          </w:tcPr>
          <w:p w:rsidRDefault="001002B4" w:rsidP="005046A8">
            <w:pPr>
              <w:spacing w:after="120" w:line="259" w:lineRule="auto"/>
            </w:pPr>
            <w:r>
              <w:t>2500</w:t>
            </w:r>
          </w:p>
        </w:tc>
        <w:tc>
          <w:tcPr>
            <w:tcW w:w="1418" w:type="dxa"/>
          </w:tcPr>
          <w:p w:rsidRDefault="00682570" w:rsidP="005046A8">
            <w:pPr>
              <w:spacing w:after="120" w:line="259" w:lineRule="auto"/>
            </w:pPr>
            <w:r>
              <w:t>2,000-2,500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1</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Online Discussions:
                <w:br/>
                Learning blog.
                <w:br/>
                Notes: Online learning blog in Canvas designed to encourage interaction with other students.
                <w:br/>
                <w:br/>
                Online Quiz:
                <w:br/>
                Xerte based test your learning quizzes.
                <w:br/>
                Notes: Online test your learning quizzes designed to test whether learning outcomes have been achieved.
                <w:br/>
                <w:br/>
                Practical:
                <w:br/>
                Suggested activities designed to explore practical implications of theoretical learning.
                <w:br/>
                Notes: Activities are suggested to enable students to put into practice what they have learned and/or to learn through doing.
                <w:br/>
                <w:br/>
                Self-Directed Learning: Students are given access to online learning materials which include reading, quizzes and blog and suggested activities which are carried out according to the student's requirements.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150</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