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8C9" w:rsidRPr="00AA49FF" w:rsidRDefault="00F108C9" w:rsidP="00F108C9">
      <w:pPr>
        <w:tabs>
          <w:tab w:val="left" w:pos="5460"/>
        </w:tabs>
        <w:spacing w:after="0"/>
        <w:contextualSpacing/>
        <w:jc w:val="both"/>
        <w:rPr>
          <w:rFonts w:ascii="Arial" w:hAnsi="Arial" w:cs="Arial"/>
          <w:b/>
        </w:rPr>
      </w:pPr>
      <w:bookmarkStart w:id="0" w:name="_Toc504129904"/>
      <w:r w:rsidRPr="00B17290">
        <w:rPr>
          <w:rFonts w:ascii="Arial" w:hAnsi="Arial" w:cs="Arial"/>
          <w:b/>
        </w:rPr>
        <w:tab/>
      </w:r>
    </w:p>
    <w:bookmarkEnd w:id="0"/>
    <w:p w:rsidR="00BB5531" w:rsidRDefault="00BB5531" w:rsidP="00BB5531">
      <w:pPr>
        <w:jc w:val="center"/>
        <w:rPr>
          <w:rFonts w:ascii="Calibri" w:eastAsiaTheme="majorEastAsia" w:hAnsi="Calibri" w:cstheme="majorBidi"/>
          <w:b/>
          <w:sz w:val="28"/>
          <w:szCs w:val="26"/>
        </w:rPr>
      </w:pPr>
    </w:p>
    <w:p w:rsidR="009F1426" w:rsidRDefault="009F1426" w:rsidP="00BB5531">
      <w:pPr>
        <w:jc w:val="center"/>
        <w:rPr>
          <w:rFonts w:ascii="Calibri" w:eastAsiaTheme="majorEastAsia" w:hAnsi="Calibri" w:cstheme="majorBidi"/>
          <w:b/>
          <w:sz w:val="28"/>
          <w:szCs w:val="26"/>
        </w:rPr>
      </w:pPr>
    </w:p>
    <w:p w:rsidR="009F1426" w:rsidRDefault="009F1426" w:rsidP="00BB5531">
      <w:pPr>
        <w:jc w:val="center"/>
        <w:rPr>
          <w:rFonts w:ascii="Calibri" w:eastAsiaTheme="majorEastAsia" w:hAnsi="Calibri" w:cstheme="majorBidi"/>
          <w:b/>
          <w:sz w:val="28"/>
          <w:szCs w:val="26"/>
        </w:rPr>
      </w:pPr>
    </w:p>
    <w:p w:rsidR="009F1426" w:rsidRDefault="009F1426" w:rsidP="00BB5531">
      <w:pPr>
        <w:jc w:val="center"/>
        <w:rPr>
          <w:rFonts w:ascii="Calibri" w:eastAsiaTheme="majorEastAsia" w:hAnsi="Calibri" w:cstheme="majorBidi"/>
          <w:b/>
          <w:sz w:val="28"/>
          <w:szCs w:val="26"/>
        </w:rPr>
      </w:pPr>
    </w:p>
    <w:p w:rsidR="009F1426" w:rsidRDefault="009F1426" w:rsidP="00BB5531">
      <w:pPr>
        <w:jc w:val="center"/>
        <w:rPr>
          <w:rFonts w:ascii="Calibri" w:eastAsiaTheme="majorEastAsia" w:hAnsi="Calibri" w:cstheme="majorBidi"/>
          <w:b/>
          <w:sz w:val="28"/>
          <w:szCs w:val="26"/>
        </w:rPr>
      </w:pPr>
    </w:p>
    <w:p w:rsidR="009F1426" w:rsidRDefault="009F1426" w:rsidP="00BB5531">
      <w:pPr>
        <w:jc w:val="center"/>
        <w:rPr>
          <w:rFonts w:ascii="Calibri" w:eastAsiaTheme="majorEastAsia" w:hAnsi="Calibri" w:cstheme="majorBidi"/>
          <w:b/>
          <w:sz w:val="28"/>
          <w:szCs w:val="26"/>
        </w:rPr>
      </w:pPr>
      <w:r>
        <w:rPr>
          <w:noProof/>
          <w:lang w:eastAsia="en-GB"/>
        </w:rPr>
        <w:drawing>
          <wp:inline distT="0" distB="0" distL="0" distR="0" wp14:anchorId="041570CC" wp14:editId="4594F80F">
            <wp:extent cx="2773878" cy="1278866"/>
            <wp:effectExtent l="0" t="0" r="0" b="0"/>
            <wp:docPr id="1" name="Picture 1" title="U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_logo_0616.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3853" cy="1288075"/>
                    </a:xfrm>
                    <a:prstGeom prst="rect">
                      <a:avLst/>
                    </a:prstGeom>
                  </pic:spPr>
                </pic:pic>
              </a:graphicData>
            </a:graphic>
          </wp:inline>
        </w:drawing>
      </w:r>
    </w:p>
    <w:p w:rsidR="005130FC" w:rsidRDefault="00D06CB4" w:rsidP="00306C4B">
      <w:pPr>
        <w:pStyle w:val="Title"/>
        <w:jc w:val="center"/>
      </w:pPr>
      <w:r w:rsidRPr="00D06CB4">
        <w:t xml:space="preserve">Statutory Pay Gap </w:t>
      </w:r>
      <w:r w:rsidRPr="001E047C">
        <w:t xml:space="preserve">Report </w:t>
      </w:r>
      <w:r w:rsidR="00565B3D" w:rsidRPr="001E047C">
        <w:t>202</w:t>
      </w:r>
      <w:r w:rsidR="00A67CDE">
        <w:t>2</w:t>
      </w:r>
    </w:p>
    <w:p w:rsidR="00306C4B" w:rsidRDefault="00306C4B" w:rsidP="00306C4B">
      <w:pPr>
        <w:pStyle w:val="Title"/>
        <w:spacing w:before="240"/>
        <w:jc w:val="center"/>
      </w:pPr>
    </w:p>
    <w:p w:rsidR="000653AE" w:rsidRDefault="00077AA6" w:rsidP="00306C4B">
      <w:pPr>
        <w:pStyle w:val="Title"/>
        <w:spacing w:before="240"/>
        <w:jc w:val="center"/>
      </w:pPr>
      <w:r>
        <w:t>Gender,</w:t>
      </w:r>
      <w:r w:rsidR="000653AE" w:rsidRPr="000653AE">
        <w:t xml:space="preserve"> </w:t>
      </w:r>
      <w:r>
        <w:t>Ethnicity, Disability,</w:t>
      </w:r>
      <w:r w:rsidR="000653AE" w:rsidRPr="000653AE">
        <w:t xml:space="preserve"> and Sexuality Pay Gaps</w:t>
      </w:r>
    </w:p>
    <w:p w:rsidR="008028CE" w:rsidRDefault="008028CE">
      <w:r>
        <w:br w:type="page"/>
      </w:r>
    </w:p>
    <w:sdt>
      <w:sdtPr>
        <w:rPr>
          <w:rFonts w:asciiTheme="minorHAnsi" w:eastAsiaTheme="minorHAnsi" w:hAnsiTheme="minorHAnsi" w:cstheme="minorBidi"/>
          <w:b w:val="0"/>
          <w:color w:val="auto"/>
          <w:sz w:val="24"/>
          <w:szCs w:val="22"/>
          <w:lang w:val="en-GB"/>
        </w:rPr>
        <w:id w:val="-1177805435"/>
        <w:docPartObj>
          <w:docPartGallery w:val="Table of Contents"/>
          <w:docPartUnique/>
        </w:docPartObj>
      </w:sdtPr>
      <w:sdtEndPr>
        <w:rPr>
          <w:bCs/>
          <w:noProof/>
        </w:rPr>
      </w:sdtEndPr>
      <w:sdtContent>
        <w:p w:rsidR="004F6D17" w:rsidRDefault="004F6D17">
          <w:pPr>
            <w:pStyle w:val="TOCHeading"/>
          </w:pPr>
          <w:r>
            <w:t>Contents</w:t>
          </w:r>
        </w:p>
        <w:p w:rsidR="004F6D17" w:rsidRDefault="004F6D17">
          <w:pPr>
            <w:pStyle w:val="TOC1"/>
            <w:tabs>
              <w:tab w:val="left" w:pos="440"/>
              <w:tab w:val="right" w:leader="dot" w:pos="9016"/>
            </w:tabs>
            <w:rPr>
              <w:rFonts w:cstheme="minorBidi"/>
              <w:noProof/>
              <w:lang w:val="en-GB" w:eastAsia="en-GB"/>
            </w:rPr>
          </w:pPr>
          <w:r>
            <w:fldChar w:fldCharType="begin"/>
          </w:r>
          <w:r>
            <w:instrText xml:space="preserve"> TOC \o "1-3" \h \z \u </w:instrText>
          </w:r>
          <w:r>
            <w:fldChar w:fldCharType="separate"/>
          </w:r>
          <w:hyperlink w:anchor="_Toc125731579" w:history="1">
            <w:r w:rsidRPr="00C84053">
              <w:rPr>
                <w:rStyle w:val="Hyperlink"/>
                <w:noProof/>
              </w:rPr>
              <w:t>1.</w:t>
            </w:r>
            <w:r>
              <w:rPr>
                <w:rFonts w:cstheme="minorBidi"/>
                <w:noProof/>
                <w:lang w:val="en-GB" w:eastAsia="en-GB"/>
              </w:rPr>
              <w:tab/>
            </w:r>
            <w:r w:rsidRPr="00C84053">
              <w:rPr>
                <w:rStyle w:val="Hyperlink"/>
                <w:noProof/>
              </w:rPr>
              <w:t>Introduction</w:t>
            </w:r>
            <w:r>
              <w:rPr>
                <w:noProof/>
                <w:webHidden/>
              </w:rPr>
              <w:tab/>
            </w:r>
            <w:r>
              <w:rPr>
                <w:noProof/>
                <w:webHidden/>
              </w:rPr>
              <w:fldChar w:fldCharType="begin"/>
            </w:r>
            <w:r>
              <w:rPr>
                <w:noProof/>
                <w:webHidden/>
              </w:rPr>
              <w:instrText xml:space="preserve"> PAGEREF _Toc125731579 \h </w:instrText>
            </w:r>
            <w:r>
              <w:rPr>
                <w:noProof/>
                <w:webHidden/>
              </w:rPr>
            </w:r>
            <w:r>
              <w:rPr>
                <w:noProof/>
                <w:webHidden/>
              </w:rPr>
              <w:fldChar w:fldCharType="separate"/>
            </w:r>
            <w:r>
              <w:rPr>
                <w:noProof/>
                <w:webHidden/>
              </w:rPr>
              <w:t>4</w:t>
            </w:r>
            <w:r>
              <w:rPr>
                <w:noProof/>
                <w:webHidden/>
              </w:rPr>
              <w:fldChar w:fldCharType="end"/>
            </w:r>
          </w:hyperlink>
        </w:p>
        <w:p w:rsidR="004F6D17" w:rsidRDefault="00D41437">
          <w:pPr>
            <w:pStyle w:val="TOC1"/>
            <w:tabs>
              <w:tab w:val="left" w:pos="440"/>
              <w:tab w:val="right" w:leader="dot" w:pos="9016"/>
            </w:tabs>
            <w:rPr>
              <w:rStyle w:val="Hyperlink"/>
              <w:noProof/>
            </w:rPr>
          </w:pPr>
          <w:hyperlink w:anchor="_Toc125731580" w:history="1">
            <w:r w:rsidR="004F6D17" w:rsidRPr="00C84053">
              <w:rPr>
                <w:rStyle w:val="Hyperlink"/>
                <w:noProof/>
              </w:rPr>
              <w:t>2.</w:t>
            </w:r>
            <w:r w:rsidR="004F6D17">
              <w:rPr>
                <w:rFonts w:cstheme="minorBidi"/>
                <w:noProof/>
                <w:lang w:val="en-GB" w:eastAsia="en-GB"/>
              </w:rPr>
              <w:tab/>
            </w:r>
            <w:r w:rsidR="004F6D17" w:rsidRPr="00C84053">
              <w:rPr>
                <w:rStyle w:val="Hyperlink"/>
                <w:noProof/>
              </w:rPr>
              <w:t>Executive Summary</w:t>
            </w:r>
            <w:r w:rsidR="004F6D17">
              <w:rPr>
                <w:noProof/>
                <w:webHidden/>
              </w:rPr>
              <w:tab/>
            </w:r>
            <w:r w:rsidR="004F6D17">
              <w:rPr>
                <w:noProof/>
                <w:webHidden/>
              </w:rPr>
              <w:fldChar w:fldCharType="begin"/>
            </w:r>
            <w:r w:rsidR="004F6D17">
              <w:rPr>
                <w:noProof/>
                <w:webHidden/>
              </w:rPr>
              <w:instrText xml:space="preserve"> PAGEREF _Toc125731580 \h </w:instrText>
            </w:r>
            <w:r w:rsidR="004F6D17">
              <w:rPr>
                <w:noProof/>
                <w:webHidden/>
              </w:rPr>
            </w:r>
            <w:r w:rsidR="004F6D17">
              <w:rPr>
                <w:noProof/>
                <w:webHidden/>
              </w:rPr>
              <w:fldChar w:fldCharType="separate"/>
            </w:r>
            <w:r w:rsidR="004F6D17">
              <w:rPr>
                <w:noProof/>
                <w:webHidden/>
              </w:rPr>
              <w:t>5</w:t>
            </w:r>
            <w:r w:rsidR="004F6D17">
              <w:rPr>
                <w:noProof/>
                <w:webHidden/>
              </w:rPr>
              <w:fldChar w:fldCharType="end"/>
            </w:r>
          </w:hyperlink>
        </w:p>
        <w:p w:rsidR="0012186C" w:rsidRDefault="0012186C" w:rsidP="0012186C">
          <w:pPr>
            <w:ind w:left="284"/>
            <w:rPr>
              <w:lang w:val="en-US"/>
            </w:rPr>
          </w:pPr>
          <w:r>
            <w:rPr>
              <w:lang w:val="en-US"/>
            </w:rPr>
            <w:t xml:space="preserve">2.1      In Summary……………………………………………………………………………………………………………5 </w:t>
          </w:r>
        </w:p>
        <w:p w:rsidR="0012186C" w:rsidRPr="0012186C" w:rsidRDefault="0012186C" w:rsidP="0012186C">
          <w:pPr>
            <w:ind w:left="284"/>
            <w:rPr>
              <w:lang w:val="en-US"/>
            </w:rPr>
          </w:pPr>
          <w:r>
            <w:rPr>
              <w:lang w:val="en-US"/>
            </w:rPr>
            <w:t>2.2</w:t>
          </w:r>
          <w:r w:rsidRPr="0012186C">
            <w:t xml:space="preserve"> </w:t>
          </w:r>
          <w:r>
            <w:rPr>
              <w:lang w:val="en-US"/>
            </w:rPr>
            <w:t xml:space="preserve">     A</w:t>
          </w:r>
          <w:r w:rsidRPr="0012186C">
            <w:rPr>
              <w:lang w:val="en-US"/>
            </w:rPr>
            <w:t xml:space="preserve"> </w:t>
          </w:r>
          <w:r w:rsidR="00376F44">
            <w:rPr>
              <w:lang w:val="en-US"/>
            </w:rPr>
            <w:t>S</w:t>
          </w:r>
          <w:r w:rsidRPr="0012186C">
            <w:rPr>
              <w:lang w:val="en-US"/>
            </w:rPr>
            <w:t xml:space="preserve">ummary of the </w:t>
          </w:r>
          <w:r w:rsidR="00376F44">
            <w:rPr>
              <w:lang w:val="en-US"/>
            </w:rPr>
            <w:t>M</w:t>
          </w:r>
          <w:r w:rsidRPr="0012186C">
            <w:rPr>
              <w:lang w:val="en-US"/>
            </w:rPr>
            <w:t xml:space="preserve">ain </w:t>
          </w:r>
          <w:r w:rsidR="00376F44">
            <w:rPr>
              <w:lang w:val="en-US"/>
            </w:rPr>
            <w:t>C</w:t>
          </w:r>
          <w:r w:rsidRPr="0012186C">
            <w:rPr>
              <w:lang w:val="en-US"/>
            </w:rPr>
            <w:t xml:space="preserve">auses of the </w:t>
          </w:r>
          <w:r w:rsidR="00376F44">
            <w:rPr>
              <w:lang w:val="en-US"/>
            </w:rPr>
            <w:t>P</w:t>
          </w:r>
          <w:r w:rsidRPr="0012186C">
            <w:rPr>
              <w:lang w:val="en-US"/>
            </w:rPr>
            <w:t xml:space="preserve">ay </w:t>
          </w:r>
          <w:r w:rsidR="00376F44">
            <w:rPr>
              <w:lang w:val="en-US"/>
            </w:rPr>
            <w:t>G</w:t>
          </w:r>
          <w:r w:rsidRPr="0012186C">
            <w:rPr>
              <w:lang w:val="en-US"/>
            </w:rPr>
            <w:t xml:space="preserve">aps </w:t>
          </w:r>
          <w:r w:rsidR="00504617">
            <w:rPr>
              <w:lang w:val="en-US"/>
            </w:rPr>
            <w:t>a</w:t>
          </w:r>
          <w:r w:rsidRPr="0012186C">
            <w:rPr>
              <w:lang w:val="en-US"/>
            </w:rPr>
            <w:t>re</w:t>
          </w:r>
          <w:r>
            <w:rPr>
              <w:lang w:val="en-US"/>
            </w:rPr>
            <w:t>…………………………………………….6</w:t>
          </w:r>
        </w:p>
        <w:p w:rsidR="004F6D17" w:rsidRDefault="00D41437">
          <w:pPr>
            <w:pStyle w:val="TOC1"/>
            <w:tabs>
              <w:tab w:val="left" w:pos="440"/>
              <w:tab w:val="right" w:leader="dot" w:pos="9016"/>
            </w:tabs>
            <w:rPr>
              <w:rFonts w:cstheme="minorBidi"/>
              <w:noProof/>
              <w:lang w:val="en-GB" w:eastAsia="en-GB"/>
            </w:rPr>
          </w:pPr>
          <w:hyperlink w:anchor="_Toc125731581" w:history="1">
            <w:r w:rsidR="004F6D17" w:rsidRPr="00C84053">
              <w:rPr>
                <w:rStyle w:val="Hyperlink"/>
                <w:noProof/>
              </w:rPr>
              <w:t>3.</w:t>
            </w:r>
            <w:r w:rsidR="004F6D17">
              <w:rPr>
                <w:rFonts w:cstheme="minorBidi"/>
                <w:noProof/>
                <w:lang w:val="en-GB" w:eastAsia="en-GB"/>
              </w:rPr>
              <w:tab/>
            </w:r>
            <w:r w:rsidR="004F6D17" w:rsidRPr="00C84053">
              <w:rPr>
                <w:rStyle w:val="Hyperlink"/>
                <w:noProof/>
              </w:rPr>
              <w:t>Statutory Gender Pay Gap</w:t>
            </w:r>
            <w:r w:rsidR="004F6D17">
              <w:rPr>
                <w:noProof/>
                <w:webHidden/>
              </w:rPr>
              <w:tab/>
            </w:r>
            <w:r w:rsidR="004F6D17">
              <w:rPr>
                <w:noProof/>
                <w:webHidden/>
              </w:rPr>
              <w:fldChar w:fldCharType="begin"/>
            </w:r>
            <w:r w:rsidR="004F6D17">
              <w:rPr>
                <w:noProof/>
                <w:webHidden/>
              </w:rPr>
              <w:instrText xml:space="preserve"> PAGEREF _Toc125731581 \h </w:instrText>
            </w:r>
            <w:r w:rsidR="004F6D17">
              <w:rPr>
                <w:noProof/>
                <w:webHidden/>
              </w:rPr>
            </w:r>
            <w:r w:rsidR="004F6D17">
              <w:rPr>
                <w:noProof/>
                <w:webHidden/>
              </w:rPr>
              <w:fldChar w:fldCharType="separate"/>
            </w:r>
            <w:r w:rsidR="004F6D17">
              <w:rPr>
                <w:noProof/>
                <w:webHidden/>
              </w:rPr>
              <w:t>8</w:t>
            </w:r>
            <w:r w:rsidR="004F6D17">
              <w:rPr>
                <w:noProof/>
                <w:webHidden/>
              </w:rPr>
              <w:fldChar w:fldCharType="end"/>
            </w:r>
          </w:hyperlink>
        </w:p>
        <w:p w:rsidR="004F6D17" w:rsidRDefault="00D41437">
          <w:pPr>
            <w:pStyle w:val="TOC1"/>
            <w:tabs>
              <w:tab w:val="left" w:pos="440"/>
              <w:tab w:val="right" w:leader="dot" w:pos="9016"/>
            </w:tabs>
            <w:rPr>
              <w:rFonts w:cstheme="minorBidi"/>
              <w:noProof/>
              <w:lang w:val="en-GB" w:eastAsia="en-GB"/>
            </w:rPr>
          </w:pPr>
          <w:hyperlink w:anchor="_Toc125731582" w:history="1">
            <w:r w:rsidR="004F6D17" w:rsidRPr="00C84053">
              <w:rPr>
                <w:rStyle w:val="Hyperlink"/>
                <w:noProof/>
              </w:rPr>
              <w:t>4.</w:t>
            </w:r>
            <w:r w:rsidR="004F6D17">
              <w:rPr>
                <w:rFonts w:cstheme="minorBidi"/>
                <w:noProof/>
                <w:lang w:val="en-GB" w:eastAsia="en-GB"/>
              </w:rPr>
              <w:tab/>
            </w:r>
            <w:r w:rsidR="004F6D17" w:rsidRPr="00C84053">
              <w:rPr>
                <w:rStyle w:val="Hyperlink"/>
                <w:noProof/>
              </w:rPr>
              <w:t>Ethnicity Pay Gap</w:t>
            </w:r>
            <w:r w:rsidR="004F6D17">
              <w:rPr>
                <w:noProof/>
                <w:webHidden/>
              </w:rPr>
              <w:tab/>
            </w:r>
            <w:r w:rsidR="004F6D17">
              <w:rPr>
                <w:noProof/>
                <w:webHidden/>
              </w:rPr>
              <w:fldChar w:fldCharType="begin"/>
            </w:r>
            <w:r w:rsidR="004F6D17">
              <w:rPr>
                <w:noProof/>
                <w:webHidden/>
              </w:rPr>
              <w:instrText xml:space="preserve"> PAGEREF _Toc125731582 \h </w:instrText>
            </w:r>
            <w:r w:rsidR="004F6D17">
              <w:rPr>
                <w:noProof/>
                <w:webHidden/>
              </w:rPr>
            </w:r>
            <w:r w:rsidR="004F6D17">
              <w:rPr>
                <w:noProof/>
                <w:webHidden/>
              </w:rPr>
              <w:fldChar w:fldCharType="separate"/>
            </w:r>
            <w:r w:rsidR="004F6D17">
              <w:rPr>
                <w:noProof/>
                <w:webHidden/>
              </w:rPr>
              <w:t>10</w:t>
            </w:r>
            <w:r w:rsidR="004F6D17">
              <w:rPr>
                <w:noProof/>
                <w:webHidden/>
              </w:rPr>
              <w:fldChar w:fldCharType="end"/>
            </w:r>
          </w:hyperlink>
        </w:p>
        <w:p w:rsidR="004F6D17" w:rsidRDefault="00D41437">
          <w:pPr>
            <w:pStyle w:val="TOC2"/>
            <w:tabs>
              <w:tab w:val="left" w:pos="880"/>
              <w:tab w:val="right" w:leader="dot" w:pos="9016"/>
            </w:tabs>
            <w:rPr>
              <w:rFonts w:eastAsiaTheme="minorEastAsia"/>
              <w:noProof/>
              <w:sz w:val="22"/>
              <w:lang w:eastAsia="en-GB"/>
            </w:rPr>
          </w:pPr>
          <w:hyperlink w:anchor="_Toc125731583" w:history="1">
            <w:r w:rsidR="004F6D17" w:rsidRPr="00C84053">
              <w:rPr>
                <w:rStyle w:val="Hyperlink"/>
                <w:noProof/>
              </w:rPr>
              <w:t>4.1.</w:t>
            </w:r>
            <w:r w:rsidR="004F6D17">
              <w:rPr>
                <w:rFonts w:eastAsiaTheme="minorEastAsia"/>
                <w:noProof/>
                <w:sz w:val="22"/>
                <w:lang w:eastAsia="en-GB"/>
              </w:rPr>
              <w:tab/>
            </w:r>
            <w:r w:rsidR="004F6D17" w:rsidRPr="00C84053">
              <w:rPr>
                <w:rStyle w:val="Hyperlink"/>
                <w:noProof/>
              </w:rPr>
              <w:t>BAME+ Pay Gap</w:t>
            </w:r>
            <w:r w:rsidR="004F6D17">
              <w:rPr>
                <w:noProof/>
                <w:webHidden/>
              </w:rPr>
              <w:tab/>
            </w:r>
            <w:r w:rsidR="004F6D17">
              <w:rPr>
                <w:noProof/>
                <w:webHidden/>
              </w:rPr>
              <w:fldChar w:fldCharType="begin"/>
            </w:r>
            <w:r w:rsidR="004F6D17">
              <w:rPr>
                <w:noProof/>
                <w:webHidden/>
              </w:rPr>
              <w:instrText xml:space="preserve"> PAGEREF _Toc125731583 \h </w:instrText>
            </w:r>
            <w:r w:rsidR="004F6D17">
              <w:rPr>
                <w:noProof/>
                <w:webHidden/>
              </w:rPr>
            </w:r>
            <w:r w:rsidR="004F6D17">
              <w:rPr>
                <w:noProof/>
                <w:webHidden/>
              </w:rPr>
              <w:fldChar w:fldCharType="separate"/>
            </w:r>
            <w:r w:rsidR="004F6D17">
              <w:rPr>
                <w:noProof/>
                <w:webHidden/>
              </w:rPr>
              <w:t>10</w:t>
            </w:r>
            <w:r w:rsidR="004F6D17">
              <w:rPr>
                <w:noProof/>
                <w:webHidden/>
              </w:rPr>
              <w:fldChar w:fldCharType="end"/>
            </w:r>
          </w:hyperlink>
        </w:p>
        <w:p w:rsidR="004F6D17" w:rsidRDefault="00D41437">
          <w:pPr>
            <w:pStyle w:val="TOC2"/>
            <w:tabs>
              <w:tab w:val="left" w:pos="880"/>
              <w:tab w:val="right" w:leader="dot" w:pos="9016"/>
            </w:tabs>
            <w:rPr>
              <w:rFonts w:eastAsiaTheme="minorEastAsia"/>
              <w:noProof/>
              <w:sz w:val="22"/>
              <w:lang w:eastAsia="en-GB"/>
            </w:rPr>
          </w:pPr>
          <w:hyperlink w:anchor="_Toc125731584" w:history="1">
            <w:r w:rsidR="004F6D17" w:rsidRPr="00C84053">
              <w:rPr>
                <w:rStyle w:val="Hyperlink"/>
                <w:noProof/>
              </w:rPr>
              <w:t>4.2.</w:t>
            </w:r>
            <w:r w:rsidR="004F6D17">
              <w:rPr>
                <w:rFonts w:eastAsiaTheme="minorEastAsia"/>
                <w:noProof/>
                <w:sz w:val="22"/>
                <w:lang w:eastAsia="en-GB"/>
              </w:rPr>
              <w:tab/>
            </w:r>
            <w:r w:rsidR="004F6D17" w:rsidRPr="00C84053">
              <w:rPr>
                <w:rStyle w:val="Hyperlink"/>
                <w:noProof/>
              </w:rPr>
              <w:t>People of Colour Pay Gap</w:t>
            </w:r>
            <w:r w:rsidR="004F6D17">
              <w:rPr>
                <w:noProof/>
                <w:webHidden/>
              </w:rPr>
              <w:tab/>
            </w:r>
            <w:r w:rsidR="004F6D17">
              <w:rPr>
                <w:noProof/>
                <w:webHidden/>
              </w:rPr>
              <w:fldChar w:fldCharType="begin"/>
            </w:r>
            <w:r w:rsidR="004F6D17">
              <w:rPr>
                <w:noProof/>
                <w:webHidden/>
              </w:rPr>
              <w:instrText xml:space="preserve"> PAGEREF _Toc125731584 \h </w:instrText>
            </w:r>
            <w:r w:rsidR="004F6D17">
              <w:rPr>
                <w:noProof/>
                <w:webHidden/>
              </w:rPr>
            </w:r>
            <w:r w:rsidR="004F6D17">
              <w:rPr>
                <w:noProof/>
                <w:webHidden/>
              </w:rPr>
              <w:fldChar w:fldCharType="separate"/>
            </w:r>
            <w:r w:rsidR="004F6D17">
              <w:rPr>
                <w:noProof/>
                <w:webHidden/>
              </w:rPr>
              <w:t>11</w:t>
            </w:r>
            <w:r w:rsidR="004F6D17">
              <w:rPr>
                <w:noProof/>
                <w:webHidden/>
              </w:rPr>
              <w:fldChar w:fldCharType="end"/>
            </w:r>
          </w:hyperlink>
        </w:p>
        <w:p w:rsidR="004F6D17" w:rsidRDefault="00D41437">
          <w:pPr>
            <w:pStyle w:val="TOC1"/>
            <w:tabs>
              <w:tab w:val="left" w:pos="440"/>
              <w:tab w:val="right" w:leader="dot" w:pos="9016"/>
            </w:tabs>
            <w:rPr>
              <w:rFonts w:cstheme="minorBidi"/>
              <w:noProof/>
              <w:lang w:val="en-GB" w:eastAsia="en-GB"/>
            </w:rPr>
          </w:pPr>
          <w:hyperlink w:anchor="_Toc125731585" w:history="1">
            <w:r w:rsidR="004F6D17" w:rsidRPr="00C84053">
              <w:rPr>
                <w:rStyle w:val="Hyperlink"/>
                <w:noProof/>
              </w:rPr>
              <w:t>5.</w:t>
            </w:r>
            <w:r w:rsidR="004F6D17">
              <w:rPr>
                <w:rFonts w:cstheme="minorBidi"/>
                <w:noProof/>
                <w:lang w:val="en-GB" w:eastAsia="en-GB"/>
              </w:rPr>
              <w:tab/>
            </w:r>
            <w:r w:rsidR="004F6D17" w:rsidRPr="00C84053">
              <w:rPr>
                <w:rStyle w:val="Hyperlink"/>
                <w:noProof/>
              </w:rPr>
              <w:t>Disability Pay Gap</w:t>
            </w:r>
            <w:r w:rsidR="004F6D17">
              <w:rPr>
                <w:noProof/>
                <w:webHidden/>
              </w:rPr>
              <w:tab/>
            </w:r>
            <w:r w:rsidR="004F6D17">
              <w:rPr>
                <w:noProof/>
                <w:webHidden/>
              </w:rPr>
              <w:fldChar w:fldCharType="begin"/>
            </w:r>
            <w:r w:rsidR="004F6D17">
              <w:rPr>
                <w:noProof/>
                <w:webHidden/>
              </w:rPr>
              <w:instrText xml:space="preserve"> PAGEREF _Toc125731585 \h </w:instrText>
            </w:r>
            <w:r w:rsidR="004F6D17">
              <w:rPr>
                <w:noProof/>
                <w:webHidden/>
              </w:rPr>
            </w:r>
            <w:r w:rsidR="004F6D17">
              <w:rPr>
                <w:noProof/>
                <w:webHidden/>
              </w:rPr>
              <w:fldChar w:fldCharType="separate"/>
            </w:r>
            <w:r w:rsidR="004F6D17">
              <w:rPr>
                <w:noProof/>
                <w:webHidden/>
              </w:rPr>
              <w:t>13</w:t>
            </w:r>
            <w:r w:rsidR="004F6D17">
              <w:rPr>
                <w:noProof/>
                <w:webHidden/>
              </w:rPr>
              <w:fldChar w:fldCharType="end"/>
            </w:r>
          </w:hyperlink>
        </w:p>
        <w:p w:rsidR="004F6D17" w:rsidRDefault="00D41437">
          <w:pPr>
            <w:pStyle w:val="TOC1"/>
            <w:tabs>
              <w:tab w:val="left" w:pos="440"/>
              <w:tab w:val="right" w:leader="dot" w:pos="9016"/>
            </w:tabs>
            <w:rPr>
              <w:rFonts w:cstheme="minorBidi"/>
              <w:noProof/>
              <w:lang w:val="en-GB" w:eastAsia="en-GB"/>
            </w:rPr>
          </w:pPr>
          <w:hyperlink w:anchor="_Toc125731586" w:history="1">
            <w:r w:rsidR="004F6D17" w:rsidRPr="00C84053">
              <w:rPr>
                <w:rStyle w:val="Hyperlink"/>
                <w:noProof/>
              </w:rPr>
              <w:t>6.</w:t>
            </w:r>
            <w:r w:rsidR="004F6D17">
              <w:rPr>
                <w:rFonts w:cstheme="minorBidi"/>
                <w:noProof/>
                <w:lang w:val="en-GB" w:eastAsia="en-GB"/>
              </w:rPr>
              <w:tab/>
            </w:r>
            <w:r w:rsidR="004F6D17" w:rsidRPr="00C84053">
              <w:rPr>
                <w:rStyle w:val="Hyperlink"/>
                <w:noProof/>
              </w:rPr>
              <w:t>Sexual Orientation Pay Gap</w:t>
            </w:r>
            <w:r w:rsidR="004F6D17">
              <w:rPr>
                <w:noProof/>
                <w:webHidden/>
              </w:rPr>
              <w:tab/>
            </w:r>
            <w:r w:rsidR="004F6D17">
              <w:rPr>
                <w:noProof/>
                <w:webHidden/>
              </w:rPr>
              <w:fldChar w:fldCharType="begin"/>
            </w:r>
            <w:r w:rsidR="004F6D17">
              <w:rPr>
                <w:noProof/>
                <w:webHidden/>
              </w:rPr>
              <w:instrText xml:space="preserve"> PAGEREF _Toc125731586 \h </w:instrText>
            </w:r>
            <w:r w:rsidR="004F6D17">
              <w:rPr>
                <w:noProof/>
                <w:webHidden/>
              </w:rPr>
            </w:r>
            <w:r w:rsidR="004F6D17">
              <w:rPr>
                <w:noProof/>
                <w:webHidden/>
              </w:rPr>
              <w:fldChar w:fldCharType="separate"/>
            </w:r>
            <w:r w:rsidR="004F6D17">
              <w:rPr>
                <w:noProof/>
                <w:webHidden/>
              </w:rPr>
              <w:t>14</w:t>
            </w:r>
            <w:r w:rsidR="004F6D17">
              <w:rPr>
                <w:noProof/>
                <w:webHidden/>
              </w:rPr>
              <w:fldChar w:fldCharType="end"/>
            </w:r>
          </w:hyperlink>
        </w:p>
        <w:p w:rsidR="004F6D17" w:rsidRDefault="00D41437">
          <w:pPr>
            <w:pStyle w:val="TOC1"/>
            <w:tabs>
              <w:tab w:val="left" w:pos="440"/>
              <w:tab w:val="right" w:leader="dot" w:pos="9016"/>
            </w:tabs>
            <w:rPr>
              <w:rFonts w:cstheme="minorBidi"/>
              <w:noProof/>
              <w:lang w:val="en-GB" w:eastAsia="en-GB"/>
            </w:rPr>
          </w:pPr>
          <w:hyperlink w:anchor="_Toc125731587" w:history="1">
            <w:r w:rsidR="004F6D17" w:rsidRPr="00C84053">
              <w:rPr>
                <w:rStyle w:val="Hyperlink"/>
                <w:noProof/>
              </w:rPr>
              <w:t>7.</w:t>
            </w:r>
            <w:r w:rsidR="004F6D17">
              <w:rPr>
                <w:rFonts w:cstheme="minorBidi"/>
                <w:noProof/>
                <w:lang w:val="en-GB" w:eastAsia="en-GB"/>
              </w:rPr>
              <w:tab/>
            </w:r>
            <w:r w:rsidR="004F6D17" w:rsidRPr="00C84053">
              <w:rPr>
                <w:rStyle w:val="Hyperlink"/>
                <w:noProof/>
              </w:rPr>
              <w:t>Sector Comparison</w:t>
            </w:r>
            <w:r w:rsidR="004F6D17">
              <w:rPr>
                <w:noProof/>
                <w:webHidden/>
              </w:rPr>
              <w:tab/>
            </w:r>
            <w:r w:rsidR="004F6D17">
              <w:rPr>
                <w:noProof/>
                <w:webHidden/>
              </w:rPr>
              <w:fldChar w:fldCharType="begin"/>
            </w:r>
            <w:r w:rsidR="004F6D17">
              <w:rPr>
                <w:noProof/>
                <w:webHidden/>
              </w:rPr>
              <w:instrText xml:space="preserve"> PAGEREF _Toc125731587 \h </w:instrText>
            </w:r>
            <w:r w:rsidR="004F6D17">
              <w:rPr>
                <w:noProof/>
                <w:webHidden/>
              </w:rPr>
            </w:r>
            <w:r w:rsidR="004F6D17">
              <w:rPr>
                <w:noProof/>
                <w:webHidden/>
              </w:rPr>
              <w:fldChar w:fldCharType="separate"/>
            </w:r>
            <w:r w:rsidR="004F6D17">
              <w:rPr>
                <w:noProof/>
                <w:webHidden/>
              </w:rPr>
              <w:t>15</w:t>
            </w:r>
            <w:r w:rsidR="004F6D17">
              <w:rPr>
                <w:noProof/>
                <w:webHidden/>
              </w:rPr>
              <w:fldChar w:fldCharType="end"/>
            </w:r>
          </w:hyperlink>
        </w:p>
        <w:p w:rsidR="004F6D17" w:rsidRDefault="00D41437">
          <w:pPr>
            <w:pStyle w:val="TOC2"/>
            <w:tabs>
              <w:tab w:val="left" w:pos="880"/>
              <w:tab w:val="right" w:leader="dot" w:pos="9016"/>
            </w:tabs>
            <w:rPr>
              <w:rFonts w:eastAsiaTheme="minorEastAsia"/>
              <w:noProof/>
              <w:sz w:val="22"/>
              <w:lang w:eastAsia="en-GB"/>
            </w:rPr>
          </w:pPr>
          <w:hyperlink w:anchor="_Toc125731588" w:history="1">
            <w:r w:rsidR="004F6D17" w:rsidRPr="00C84053">
              <w:rPr>
                <w:rStyle w:val="Hyperlink"/>
                <w:noProof/>
              </w:rPr>
              <w:t>7.1</w:t>
            </w:r>
            <w:r w:rsidR="004F6D17">
              <w:rPr>
                <w:rFonts w:eastAsiaTheme="minorEastAsia"/>
                <w:noProof/>
                <w:sz w:val="22"/>
                <w:lang w:eastAsia="en-GB"/>
              </w:rPr>
              <w:tab/>
            </w:r>
            <w:r w:rsidR="004F6D17" w:rsidRPr="00C84053">
              <w:rPr>
                <w:rStyle w:val="Hyperlink"/>
                <w:noProof/>
              </w:rPr>
              <w:t xml:space="preserve">Gender </w:t>
            </w:r>
            <w:r w:rsidR="00376F44">
              <w:rPr>
                <w:rStyle w:val="Hyperlink"/>
                <w:noProof/>
              </w:rPr>
              <w:t>C</w:t>
            </w:r>
            <w:r w:rsidR="004F6D17" w:rsidRPr="00C84053">
              <w:rPr>
                <w:rStyle w:val="Hyperlink"/>
                <w:noProof/>
              </w:rPr>
              <w:t>omparison</w:t>
            </w:r>
            <w:r w:rsidR="004F6D17">
              <w:rPr>
                <w:noProof/>
                <w:webHidden/>
              </w:rPr>
              <w:tab/>
            </w:r>
            <w:r w:rsidR="004F6D17">
              <w:rPr>
                <w:noProof/>
                <w:webHidden/>
              </w:rPr>
              <w:fldChar w:fldCharType="begin"/>
            </w:r>
            <w:r w:rsidR="004F6D17">
              <w:rPr>
                <w:noProof/>
                <w:webHidden/>
              </w:rPr>
              <w:instrText xml:space="preserve"> PAGEREF _Toc125731588 \h </w:instrText>
            </w:r>
            <w:r w:rsidR="004F6D17">
              <w:rPr>
                <w:noProof/>
                <w:webHidden/>
              </w:rPr>
            </w:r>
            <w:r w:rsidR="004F6D17">
              <w:rPr>
                <w:noProof/>
                <w:webHidden/>
              </w:rPr>
              <w:fldChar w:fldCharType="separate"/>
            </w:r>
            <w:r w:rsidR="004F6D17">
              <w:rPr>
                <w:noProof/>
                <w:webHidden/>
              </w:rPr>
              <w:t>15</w:t>
            </w:r>
            <w:r w:rsidR="004F6D17">
              <w:rPr>
                <w:noProof/>
                <w:webHidden/>
              </w:rPr>
              <w:fldChar w:fldCharType="end"/>
            </w:r>
          </w:hyperlink>
        </w:p>
        <w:p w:rsidR="004F6D17" w:rsidRDefault="00D41437">
          <w:pPr>
            <w:pStyle w:val="TOC2"/>
            <w:tabs>
              <w:tab w:val="left" w:pos="880"/>
              <w:tab w:val="right" w:leader="dot" w:pos="9016"/>
            </w:tabs>
            <w:rPr>
              <w:rFonts w:eastAsiaTheme="minorEastAsia"/>
              <w:noProof/>
              <w:sz w:val="22"/>
              <w:lang w:eastAsia="en-GB"/>
            </w:rPr>
          </w:pPr>
          <w:hyperlink w:anchor="_Toc125731589" w:history="1">
            <w:r w:rsidR="004F6D17" w:rsidRPr="00C84053">
              <w:rPr>
                <w:rStyle w:val="Hyperlink"/>
                <w:noProof/>
              </w:rPr>
              <w:t>7.2</w:t>
            </w:r>
            <w:r w:rsidR="004F6D17">
              <w:rPr>
                <w:rFonts w:eastAsiaTheme="minorEastAsia"/>
                <w:noProof/>
                <w:sz w:val="22"/>
                <w:lang w:eastAsia="en-GB"/>
              </w:rPr>
              <w:tab/>
            </w:r>
            <w:r w:rsidR="004F6D17" w:rsidRPr="00C84053">
              <w:rPr>
                <w:rStyle w:val="Hyperlink"/>
                <w:noProof/>
              </w:rPr>
              <w:t xml:space="preserve">Ethnicity </w:t>
            </w:r>
            <w:r w:rsidR="00376F44">
              <w:rPr>
                <w:rStyle w:val="Hyperlink"/>
                <w:noProof/>
              </w:rPr>
              <w:t>C</w:t>
            </w:r>
            <w:r w:rsidR="004F6D17" w:rsidRPr="00C84053">
              <w:rPr>
                <w:rStyle w:val="Hyperlink"/>
                <w:noProof/>
              </w:rPr>
              <w:t>omparison</w:t>
            </w:r>
            <w:r w:rsidR="004F6D17">
              <w:rPr>
                <w:noProof/>
                <w:webHidden/>
              </w:rPr>
              <w:tab/>
            </w:r>
            <w:r w:rsidR="004F6D17">
              <w:rPr>
                <w:noProof/>
                <w:webHidden/>
              </w:rPr>
              <w:fldChar w:fldCharType="begin"/>
            </w:r>
            <w:r w:rsidR="004F6D17">
              <w:rPr>
                <w:noProof/>
                <w:webHidden/>
              </w:rPr>
              <w:instrText xml:space="preserve"> PAGEREF _Toc125731589 \h </w:instrText>
            </w:r>
            <w:r w:rsidR="004F6D17">
              <w:rPr>
                <w:noProof/>
                <w:webHidden/>
              </w:rPr>
            </w:r>
            <w:r w:rsidR="004F6D17">
              <w:rPr>
                <w:noProof/>
                <w:webHidden/>
              </w:rPr>
              <w:fldChar w:fldCharType="separate"/>
            </w:r>
            <w:r w:rsidR="004F6D17">
              <w:rPr>
                <w:noProof/>
                <w:webHidden/>
              </w:rPr>
              <w:t>16</w:t>
            </w:r>
            <w:r w:rsidR="004F6D17">
              <w:rPr>
                <w:noProof/>
                <w:webHidden/>
              </w:rPr>
              <w:fldChar w:fldCharType="end"/>
            </w:r>
          </w:hyperlink>
        </w:p>
        <w:p w:rsidR="004F6D17" w:rsidRDefault="00D41437">
          <w:pPr>
            <w:pStyle w:val="TOC2"/>
            <w:tabs>
              <w:tab w:val="left" w:pos="880"/>
              <w:tab w:val="right" w:leader="dot" w:pos="9016"/>
            </w:tabs>
            <w:rPr>
              <w:rStyle w:val="Hyperlink"/>
              <w:noProof/>
            </w:rPr>
          </w:pPr>
          <w:hyperlink w:anchor="_Toc125731590" w:history="1">
            <w:r w:rsidR="004F6D17" w:rsidRPr="00C84053">
              <w:rPr>
                <w:rStyle w:val="Hyperlink"/>
                <w:noProof/>
              </w:rPr>
              <w:t>7.3</w:t>
            </w:r>
            <w:r w:rsidR="004F6D17">
              <w:rPr>
                <w:rFonts w:eastAsiaTheme="minorEastAsia"/>
                <w:noProof/>
                <w:sz w:val="22"/>
                <w:lang w:eastAsia="en-GB"/>
              </w:rPr>
              <w:tab/>
            </w:r>
            <w:r w:rsidR="004F6D17" w:rsidRPr="00C84053">
              <w:rPr>
                <w:rStyle w:val="Hyperlink"/>
                <w:noProof/>
              </w:rPr>
              <w:t xml:space="preserve">Disability &amp; Sexual Orientation </w:t>
            </w:r>
            <w:r w:rsidR="00376F44">
              <w:rPr>
                <w:rStyle w:val="Hyperlink"/>
                <w:noProof/>
              </w:rPr>
              <w:t>C</w:t>
            </w:r>
            <w:r w:rsidR="004F6D17" w:rsidRPr="00C84053">
              <w:rPr>
                <w:rStyle w:val="Hyperlink"/>
                <w:noProof/>
              </w:rPr>
              <w:t>omparison</w:t>
            </w:r>
            <w:r w:rsidR="004F6D17">
              <w:rPr>
                <w:noProof/>
                <w:webHidden/>
              </w:rPr>
              <w:tab/>
            </w:r>
            <w:r w:rsidR="004F6D17">
              <w:rPr>
                <w:noProof/>
                <w:webHidden/>
              </w:rPr>
              <w:fldChar w:fldCharType="begin"/>
            </w:r>
            <w:r w:rsidR="004F6D17">
              <w:rPr>
                <w:noProof/>
                <w:webHidden/>
              </w:rPr>
              <w:instrText xml:space="preserve"> PAGEREF _Toc125731590 \h </w:instrText>
            </w:r>
            <w:r w:rsidR="004F6D17">
              <w:rPr>
                <w:noProof/>
                <w:webHidden/>
              </w:rPr>
            </w:r>
            <w:r w:rsidR="004F6D17">
              <w:rPr>
                <w:noProof/>
                <w:webHidden/>
              </w:rPr>
              <w:fldChar w:fldCharType="separate"/>
            </w:r>
            <w:r w:rsidR="004F6D17">
              <w:rPr>
                <w:noProof/>
                <w:webHidden/>
              </w:rPr>
              <w:t>16</w:t>
            </w:r>
            <w:r w:rsidR="004F6D17">
              <w:rPr>
                <w:noProof/>
                <w:webHidden/>
              </w:rPr>
              <w:fldChar w:fldCharType="end"/>
            </w:r>
          </w:hyperlink>
        </w:p>
        <w:p w:rsidR="0012186C" w:rsidRDefault="0012186C" w:rsidP="0012186C">
          <w:r>
            <w:t xml:space="preserve">8.     </w:t>
          </w:r>
          <w:r w:rsidRPr="0012186C">
            <w:t>Actions Taken to Address Pay Gaps</w:t>
          </w:r>
          <w:r>
            <w:t xml:space="preserve">…………………………………………………………………………….17  </w:t>
          </w:r>
          <w:r w:rsidRPr="0012186C">
            <w:t>9.</w:t>
          </w:r>
          <w:r>
            <w:t xml:space="preserve">     </w:t>
          </w:r>
          <w:r w:rsidRPr="0012186C">
            <w:t>Recommendations</w:t>
          </w:r>
          <w:r>
            <w:t>…………………………………………………………………………………………..………….18</w:t>
          </w:r>
        </w:p>
        <w:p w:rsidR="0012186C" w:rsidRDefault="0012186C" w:rsidP="0012186C">
          <w:r w:rsidRPr="0012186C">
            <w:t>10.</w:t>
          </w:r>
          <w:r>
            <w:t xml:space="preserve">   </w:t>
          </w:r>
          <w:r w:rsidRPr="0012186C">
            <w:t>Glossary of Terms</w:t>
          </w:r>
          <w:r>
            <w:t>……</w:t>
          </w:r>
          <w:r w:rsidR="008B2590">
            <w:t>………………………………………………………………………………………………</w:t>
          </w:r>
          <w:r>
            <w:t>….19</w:t>
          </w:r>
        </w:p>
        <w:p w:rsidR="0012186C" w:rsidRPr="0012186C" w:rsidRDefault="0012186C" w:rsidP="0012186C"/>
        <w:p w:rsidR="004F6D17" w:rsidRDefault="004F6D17">
          <w:r>
            <w:rPr>
              <w:b/>
              <w:bCs/>
              <w:noProof/>
            </w:rPr>
            <w:fldChar w:fldCharType="end"/>
          </w:r>
        </w:p>
      </w:sdtContent>
    </w:sdt>
    <w:p w:rsidR="009333AE" w:rsidRDefault="009333AE">
      <w:pPr>
        <w:rPr>
          <w:rFonts w:ascii="Calibri" w:eastAsiaTheme="majorEastAsia" w:hAnsi="Calibri" w:cstheme="majorBidi"/>
          <w:b/>
          <w:sz w:val="22"/>
          <w:szCs w:val="24"/>
        </w:rPr>
      </w:pPr>
    </w:p>
    <w:p w:rsidR="009333AE" w:rsidRDefault="009333AE">
      <w:pPr>
        <w:rPr>
          <w:rFonts w:ascii="Calibri" w:eastAsiaTheme="majorEastAsia" w:hAnsi="Calibri" w:cstheme="majorBidi"/>
          <w:b/>
          <w:sz w:val="22"/>
          <w:szCs w:val="24"/>
        </w:rPr>
      </w:pPr>
      <w:r>
        <w:rPr>
          <w:rFonts w:ascii="Calibri" w:eastAsiaTheme="majorEastAsia" w:hAnsi="Calibri" w:cstheme="majorBidi"/>
          <w:b/>
          <w:sz w:val="22"/>
          <w:szCs w:val="24"/>
        </w:rPr>
        <w:br w:type="page"/>
      </w:r>
    </w:p>
    <w:p w:rsidR="00E207BB" w:rsidRDefault="00E207BB" w:rsidP="00D1110D">
      <w:pPr>
        <w:pStyle w:val="Heading1"/>
        <w:numPr>
          <w:ilvl w:val="0"/>
          <w:numId w:val="6"/>
        </w:numPr>
        <w:shd w:val="clear" w:color="auto" w:fill="D9E2F3" w:themeFill="accent5" w:themeFillTint="33"/>
      </w:pPr>
      <w:bookmarkStart w:id="1" w:name="_Toc125731579"/>
      <w:bookmarkStart w:id="2" w:name="_Toc21338937"/>
      <w:r>
        <w:lastRenderedPageBreak/>
        <w:t>Introduction</w:t>
      </w:r>
      <w:bookmarkEnd w:id="1"/>
    </w:p>
    <w:p w:rsidR="00E207BB" w:rsidRDefault="00E207BB" w:rsidP="00E207BB">
      <w:r>
        <w:t xml:space="preserve">This report sets out the Statutory Gender Pay Gap Report for 2022 as per the requirements in the Equality Act 2010 </w:t>
      </w:r>
      <w:r w:rsidRPr="00E207BB">
        <w:rPr>
          <w:i/>
        </w:rPr>
        <w:t>(Specific Duties and Public Authorities) Regulations 2017</w:t>
      </w:r>
      <w:r>
        <w:t xml:space="preserve">. In addition, the report includes the BAME+ Pay Gap, People of Colour Pay Gap, Disability Pay Gap, and Sexual Orientation Pay Gap using the same calculation methodology and data sample. </w:t>
      </w:r>
    </w:p>
    <w:p w:rsidR="00E207BB" w:rsidRPr="008D455D" w:rsidRDefault="00E207BB" w:rsidP="00E207BB">
      <w:r w:rsidRPr="008D455D">
        <w:t xml:space="preserve">The Statutory Pay Gap calculation includes all </w:t>
      </w:r>
      <w:r w:rsidR="00A45874">
        <w:t>F</w:t>
      </w:r>
      <w:r w:rsidRPr="008D455D">
        <w:t xml:space="preserve">ull </w:t>
      </w:r>
      <w:r w:rsidR="00A45874">
        <w:t>P</w:t>
      </w:r>
      <w:r>
        <w:t>ay</w:t>
      </w:r>
      <w:r w:rsidRPr="008D455D">
        <w:t xml:space="preserve"> </w:t>
      </w:r>
      <w:r w:rsidR="00A45874">
        <w:t>R</w:t>
      </w:r>
      <w:r>
        <w:t xml:space="preserve">elevant </w:t>
      </w:r>
      <w:r w:rsidR="00A45874">
        <w:t>E</w:t>
      </w:r>
      <w:r>
        <w:t xml:space="preserve">mployees </w:t>
      </w:r>
      <w:r w:rsidR="00A45874">
        <w:t xml:space="preserve">(FPRE) </w:t>
      </w:r>
      <w:r>
        <w:t>in March 2022,</w:t>
      </w:r>
      <w:r w:rsidRPr="008D455D">
        <w:t xml:space="preserve"> after Salary Sacri</w:t>
      </w:r>
      <w:r>
        <w:t xml:space="preserve">fice deductions (pensions, travel loans, etc.) have been made. </w:t>
      </w:r>
    </w:p>
    <w:p w:rsidR="00E207BB" w:rsidRPr="008D455D" w:rsidRDefault="00E207BB" w:rsidP="00E207BB">
      <w:pPr>
        <w:spacing w:after="0" w:line="240" w:lineRule="auto"/>
        <w:rPr>
          <w:szCs w:val="24"/>
        </w:rPr>
      </w:pPr>
      <w:r w:rsidRPr="008D455D">
        <w:rPr>
          <w:b/>
          <w:szCs w:val="24"/>
        </w:rPr>
        <w:t>Ordinary Pay,</w:t>
      </w:r>
      <w:r w:rsidRPr="008D455D">
        <w:rPr>
          <w:szCs w:val="24"/>
        </w:rPr>
        <w:t xml:space="preserve"> which the mean and median is calculated from, is a calculation of the hourly income of an employee composed of their basic pay, allowances, shift premium pay, and any pay for piecework. Ordinary Pay is calculated fr</w:t>
      </w:r>
      <w:r>
        <w:rPr>
          <w:szCs w:val="24"/>
        </w:rPr>
        <w:t>om monies received in March 2022</w:t>
      </w:r>
      <w:r w:rsidRPr="008D455D">
        <w:rPr>
          <w:szCs w:val="24"/>
        </w:rPr>
        <w:t>.</w:t>
      </w:r>
    </w:p>
    <w:p w:rsidR="00E207BB" w:rsidRPr="008D455D" w:rsidRDefault="00E207BB" w:rsidP="00E207BB">
      <w:pPr>
        <w:spacing w:after="0" w:line="240" w:lineRule="auto"/>
        <w:rPr>
          <w:szCs w:val="24"/>
        </w:rPr>
      </w:pPr>
    </w:p>
    <w:p w:rsidR="00E207BB" w:rsidRPr="008D455D" w:rsidRDefault="00E207BB" w:rsidP="00E207BB">
      <w:pPr>
        <w:spacing w:after="0" w:line="240" w:lineRule="auto"/>
        <w:rPr>
          <w:szCs w:val="24"/>
        </w:rPr>
      </w:pPr>
      <w:r w:rsidRPr="008D455D">
        <w:rPr>
          <w:b/>
        </w:rPr>
        <w:t>Bonus Pay</w:t>
      </w:r>
      <w:r w:rsidRPr="008D455D">
        <w:t xml:space="preserve"> is any form of money, vouchers, securities, securities options, or interests received by an employee which is awarded as a result of profit-sharing arrangements, productivity, performance, incentives, or commission. Bonus Pay is calculated from monies received in the 12</w:t>
      </w:r>
      <w:r>
        <w:t xml:space="preserve"> months leading up to March 2022</w:t>
      </w:r>
      <w:r w:rsidRPr="008D455D">
        <w:t xml:space="preserve">. </w:t>
      </w:r>
    </w:p>
    <w:p w:rsidR="00E207BB" w:rsidRPr="00851F6E" w:rsidRDefault="00E207BB" w:rsidP="00E207BB">
      <w:pPr>
        <w:spacing w:after="0" w:line="240" w:lineRule="auto"/>
        <w:rPr>
          <w:sz w:val="20"/>
          <w:szCs w:val="20"/>
        </w:rPr>
      </w:pPr>
    </w:p>
    <w:p w:rsidR="00851F6E" w:rsidRPr="00263617" w:rsidRDefault="00E207BB" w:rsidP="00851F6E">
      <w:pPr>
        <w:rPr>
          <w:i/>
        </w:rPr>
      </w:pPr>
      <w:r w:rsidRPr="008D455D">
        <w:t xml:space="preserve">Where a pay gap number is a positive figure and </w:t>
      </w:r>
      <w:r w:rsidRPr="008D455D">
        <w:rPr>
          <w:b/>
        </w:rPr>
        <w:t>black</w:t>
      </w:r>
      <w:r w:rsidRPr="008D455D">
        <w:t xml:space="preserve">, this means that there is a pay gap in favour of </w:t>
      </w:r>
      <w:r>
        <w:t xml:space="preserve">baseline group e.g. </w:t>
      </w:r>
      <w:r w:rsidRPr="008D455D">
        <w:t xml:space="preserve">men, where a number is a negative figure and </w:t>
      </w:r>
      <w:r w:rsidRPr="008D455D">
        <w:rPr>
          <w:b/>
          <w:color w:val="FF0000"/>
        </w:rPr>
        <w:t>red</w:t>
      </w:r>
      <w:r w:rsidRPr="008D455D">
        <w:t xml:space="preserve">, this means that there is a pay gap in favour of </w:t>
      </w:r>
      <w:r>
        <w:t xml:space="preserve">the comparison group e.g. </w:t>
      </w:r>
      <w:r w:rsidRPr="008D455D">
        <w:t xml:space="preserve">women. </w:t>
      </w:r>
      <w:r>
        <w:t xml:space="preserve">A </w:t>
      </w:r>
      <w:r w:rsidRPr="00370FBA">
        <w:rPr>
          <w:b/>
          <w:color w:val="00B050"/>
        </w:rPr>
        <w:t>green</w:t>
      </w:r>
      <w:r w:rsidRPr="00370FBA">
        <w:rPr>
          <w:color w:val="00B050"/>
        </w:rPr>
        <w:t xml:space="preserve"> </w:t>
      </w:r>
      <w:r w:rsidRPr="001E17C7">
        <w:t xml:space="preserve">arrow </w:t>
      </w:r>
      <w:r>
        <w:t xml:space="preserve">indicates a positive change to reduce the pay gap, a </w:t>
      </w:r>
      <w:r w:rsidRPr="00370FBA">
        <w:rPr>
          <w:b/>
          <w:color w:val="FF0000"/>
        </w:rPr>
        <w:t>red</w:t>
      </w:r>
      <w:r w:rsidRPr="00370FBA">
        <w:rPr>
          <w:color w:val="FF0000"/>
        </w:rPr>
        <w:t xml:space="preserve"> </w:t>
      </w:r>
      <w:r>
        <w:t xml:space="preserve">arrow indicates a negative change, and a </w:t>
      </w:r>
      <w:r w:rsidRPr="00370FBA">
        <w:rPr>
          <w:b/>
        </w:rPr>
        <w:t>black</w:t>
      </w:r>
      <w:r>
        <w:t xml:space="preserve"> arrow indicates a change that is not deemed to be positive or negative. </w:t>
      </w:r>
      <w:r w:rsidR="00851F6E">
        <w:t xml:space="preserve">                </w:t>
      </w:r>
      <w:r w:rsidR="00851F6E" w:rsidRPr="00263617">
        <w:rPr>
          <w:i/>
        </w:rPr>
        <w:t xml:space="preserve">- Please see Glossary of Terms for a full list of all baseline groups. </w:t>
      </w:r>
    </w:p>
    <w:p w:rsidR="00851F6E" w:rsidRDefault="00E207BB" w:rsidP="00E207BB">
      <w:pPr>
        <w:rPr>
          <w:b/>
        </w:rPr>
      </w:pPr>
      <w:r w:rsidRPr="00851F6E">
        <w:rPr>
          <w:b/>
          <w:u w:val="single"/>
        </w:rPr>
        <w:t>Clinical Pay Scales</w:t>
      </w:r>
      <w:r w:rsidR="00851F6E">
        <w:rPr>
          <w:b/>
        </w:rPr>
        <w:t xml:space="preserve">: </w:t>
      </w:r>
    </w:p>
    <w:p w:rsidR="00E207BB" w:rsidRDefault="00E207BB" w:rsidP="00E207BB">
      <w:r>
        <w:t xml:space="preserve">Employees with a Clinical Contract are paid in accordance with the </w:t>
      </w:r>
      <w:hyperlink r:id="rId12" w:history="1">
        <w:r w:rsidRPr="00684547">
          <w:rPr>
            <w:rStyle w:val="Hyperlink"/>
          </w:rPr>
          <w:t>NHS Agenda for Change Pay Scale</w:t>
        </w:r>
      </w:hyperlink>
      <w:r>
        <w:t xml:space="preserve"> and not that of the University. Some clinical staff will be eligible for additional payments based on their length of service, role/expertise, and whether they deliver clinics. Clinical Staff may also be eligible for </w:t>
      </w:r>
      <w:hyperlink r:id="rId13" w:history="1">
        <w:r w:rsidRPr="00684547">
          <w:rPr>
            <w:rStyle w:val="Hyperlink"/>
          </w:rPr>
          <w:t>Clinical Excellence Awards</w:t>
        </w:r>
      </w:hyperlink>
      <w:r>
        <w:t>, a NHS bonus scheme. The process for awarding CEA is determined by the NHS and not the University, but the payment of these awards is processed by the University and therefore is included within Clinical staff pay.</w:t>
      </w:r>
    </w:p>
    <w:p w:rsidR="00851F6E" w:rsidRDefault="00E207BB" w:rsidP="00E207BB">
      <w:r w:rsidRPr="00851F6E">
        <w:rPr>
          <w:b/>
          <w:u w:val="single"/>
        </w:rPr>
        <w:t xml:space="preserve">Legislative </w:t>
      </w:r>
      <w:r w:rsidR="00376F44">
        <w:rPr>
          <w:b/>
          <w:u w:val="single"/>
        </w:rPr>
        <w:t>B</w:t>
      </w:r>
      <w:r w:rsidRPr="00851F6E">
        <w:rPr>
          <w:b/>
          <w:u w:val="single"/>
        </w:rPr>
        <w:t>ackground</w:t>
      </w:r>
      <w:r w:rsidR="00851F6E" w:rsidRPr="00851F6E">
        <w:rPr>
          <w:b/>
        </w:rPr>
        <w:t>:</w:t>
      </w:r>
      <w:r w:rsidR="00851F6E" w:rsidRPr="00851F6E">
        <w:t xml:space="preserve"> </w:t>
      </w:r>
    </w:p>
    <w:p w:rsidR="00E207BB" w:rsidRDefault="00E207BB" w:rsidP="00E207BB">
      <w:pPr>
        <w:rPr>
          <w:rFonts w:cstheme="minorHAnsi"/>
          <w:szCs w:val="24"/>
        </w:rPr>
      </w:pPr>
      <w:r w:rsidRPr="00851F6E">
        <w:rPr>
          <w:rFonts w:cstheme="minorHAnsi"/>
          <w:i/>
          <w:szCs w:val="24"/>
        </w:rPr>
        <w:t>The</w:t>
      </w:r>
      <w:r w:rsidRPr="00E120E8">
        <w:rPr>
          <w:rFonts w:cstheme="minorHAnsi"/>
          <w:i/>
          <w:szCs w:val="24"/>
        </w:rPr>
        <w:t xml:space="preserve"> Equality Act 2010</w:t>
      </w:r>
      <w:r w:rsidRPr="00E120E8">
        <w:rPr>
          <w:rFonts w:cstheme="minorHAnsi"/>
          <w:szCs w:val="24"/>
        </w:rPr>
        <w:t xml:space="preserve"> defines the protected characteristic of “sex” to mean being male or female.</w:t>
      </w:r>
      <w:r>
        <w:rPr>
          <w:rFonts w:cstheme="minorHAnsi"/>
          <w:szCs w:val="24"/>
        </w:rPr>
        <w:t xml:space="preserve"> Gender Pay Gap Reporting of </w:t>
      </w:r>
      <w:r w:rsidRPr="00E120E8">
        <w:rPr>
          <w:rFonts w:cstheme="minorHAnsi"/>
          <w:i/>
          <w:szCs w:val="24"/>
        </w:rPr>
        <w:t>The Equality Act 2010 (Specific Duties and Public Authorities) Regulations 2017</w:t>
      </w:r>
      <w:r>
        <w:rPr>
          <w:rFonts w:cstheme="minorHAnsi"/>
          <w:color w:val="000000"/>
          <w:szCs w:val="24"/>
          <w:shd w:val="clear" w:color="auto" w:fill="FFFFFF"/>
        </w:rPr>
        <w:t xml:space="preserve">, </w:t>
      </w:r>
      <w:r>
        <w:rPr>
          <w:rFonts w:cstheme="minorHAnsi"/>
          <w:szCs w:val="24"/>
        </w:rPr>
        <w:t xml:space="preserve">is a </w:t>
      </w:r>
      <w:r w:rsidRPr="00E120E8">
        <w:rPr>
          <w:rFonts w:cstheme="minorHAnsi"/>
          <w:szCs w:val="24"/>
        </w:rPr>
        <w:t>reference to a comparison between the m</w:t>
      </w:r>
      <w:r>
        <w:rPr>
          <w:rFonts w:cstheme="minorHAnsi"/>
          <w:szCs w:val="24"/>
        </w:rPr>
        <w:t>ale and female sex groups only. The Gender Pay Gap calculations within this report therefore are in accordance with the statutory requirements</w:t>
      </w:r>
      <w:r w:rsidR="002050BE">
        <w:rPr>
          <w:rFonts w:cstheme="minorHAnsi"/>
          <w:szCs w:val="24"/>
        </w:rPr>
        <w:t xml:space="preserve"> </w:t>
      </w:r>
      <w:r w:rsidR="002050BE" w:rsidRPr="00AC7373">
        <w:rPr>
          <w:rFonts w:cstheme="minorHAnsi"/>
          <w:szCs w:val="24"/>
        </w:rPr>
        <w:t>and do not include other genders</w:t>
      </w:r>
      <w:r w:rsidRPr="00AC7373">
        <w:rPr>
          <w:rFonts w:cstheme="minorHAnsi"/>
          <w:szCs w:val="24"/>
        </w:rPr>
        <w:t>.</w:t>
      </w:r>
      <w:r>
        <w:rPr>
          <w:rFonts w:cstheme="minorHAnsi"/>
          <w:szCs w:val="24"/>
        </w:rPr>
        <w:t xml:space="preserve"> </w:t>
      </w:r>
    </w:p>
    <w:p w:rsidR="00E207BB" w:rsidRDefault="00E207BB" w:rsidP="00E207BB">
      <w:pPr>
        <w:rPr>
          <w:rFonts w:cstheme="minorHAnsi"/>
          <w:szCs w:val="24"/>
        </w:rPr>
      </w:pPr>
      <w:r>
        <w:rPr>
          <w:rFonts w:cstheme="minorHAnsi"/>
          <w:szCs w:val="24"/>
        </w:rPr>
        <w:t>There is no legal duty or prescribed methodology for the calculation and reporting of a pay gap between other equality characteristics, and therefore the methodologies adopted within this report e.g. Disabled v No Known Disability has been formulated by the University of Liverpool.</w:t>
      </w:r>
    </w:p>
    <w:p w:rsidR="00E207BB" w:rsidRDefault="00E207BB" w:rsidP="00D1110D">
      <w:pPr>
        <w:pStyle w:val="Heading1"/>
        <w:numPr>
          <w:ilvl w:val="0"/>
          <w:numId w:val="6"/>
        </w:numPr>
        <w:shd w:val="clear" w:color="auto" w:fill="D9E2F3" w:themeFill="accent5" w:themeFillTint="33"/>
      </w:pPr>
      <w:bookmarkStart w:id="3" w:name="_Toc125731580"/>
      <w:r>
        <w:lastRenderedPageBreak/>
        <w:t>Executive Summary</w:t>
      </w:r>
      <w:bookmarkEnd w:id="3"/>
    </w:p>
    <w:p w:rsidR="00725FDB" w:rsidRPr="00725FDB" w:rsidRDefault="00725FDB" w:rsidP="00725FDB">
      <w:pPr>
        <w:pStyle w:val="NoSpacing"/>
        <w:rPr>
          <w:sz w:val="6"/>
          <w:szCs w:val="2"/>
        </w:rPr>
      </w:pPr>
    </w:p>
    <w:p w:rsidR="0067664C" w:rsidRPr="00C23EDB" w:rsidRDefault="00747866" w:rsidP="00B11091">
      <w:pPr>
        <w:rPr>
          <w:b/>
        </w:rPr>
      </w:pPr>
      <w:r>
        <w:rPr>
          <w:b/>
        </w:rPr>
        <w:t xml:space="preserve">2.1 - </w:t>
      </w:r>
      <w:r w:rsidR="00C23EDB" w:rsidRPr="00725FDB">
        <w:rPr>
          <w:b/>
          <w:u w:val="single"/>
        </w:rPr>
        <w:t>IN SUMMARY</w:t>
      </w:r>
      <w:r w:rsidR="00C23EDB" w:rsidRPr="00C23EDB">
        <w:rPr>
          <w:b/>
        </w:rPr>
        <w:t>:</w:t>
      </w:r>
    </w:p>
    <w:p w:rsidR="00B11091" w:rsidRPr="00650E73" w:rsidRDefault="00650E73" w:rsidP="00AC7373">
      <w:pPr>
        <w:pStyle w:val="ListParagraph"/>
        <w:numPr>
          <w:ilvl w:val="0"/>
          <w:numId w:val="25"/>
        </w:numPr>
        <w:ind w:left="0"/>
        <w:rPr>
          <w:u w:val="single"/>
        </w:rPr>
      </w:pPr>
      <w:r w:rsidRPr="00650E73">
        <w:rPr>
          <w:b/>
        </w:rPr>
        <w:t>Gender Pay Gap:</w:t>
      </w:r>
      <w:r w:rsidRPr="00650E73">
        <w:t xml:space="preserve"> </w:t>
      </w:r>
      <w:r>
        <w:t>The pay gap</w:t>
      </w:r>
      <w:r w:rsidR="0067664C">
        <w:t xml:space="preserve"> continued</w:t>
      </w:r>
      <w:r>
        <w:t xml:space="preserve"> to favour the male population, the Mean, </w:t>
      </w:r>
      <w:r w:rsidR="00B11091">
        <w:t>Median</w:t>
      </w:r>
      <w:r>
        <w:t>, Mean Bonus, and Median Bonus Pay Gaps all</w:t>
      </w:r>
      <w:r w:rsidR="00766279">
        <w:t xml:space="preserve"> in</w:t>
      </w:r>
      <w:r>
        <w:t>creased</w:t>
      </w:r>
      <w:r w:rsidR="0049468E">
        <w:t xml:space="preserve"> </w:t>
      </w:r>
      <w:r w:rsidR="00766279">
        <w:t xml:space="preserve">on 2021 figures as the </w:t>
      </w:r>
      <w:r w:rsidR="00AA49FF">
        <w:t>U</w:t>
      </w:r>
      <w:r w:rsidR="00766279">
        <w:t>niversity returned to work following COVID</w:t>
      </w:r>
      <w:r w:rsidR="004B71AD">
        <w:t>-19</w:t>
      </w:r>
      <w:r>
        <w:t>.</w:t>
      </w:r>
      <w:r w:rsidRPr="00650E73">
        <w:t xml:space="preserve"> The Mean is now </w:t>
      </w:r>
      <w:r w:rsidR="00766279">
        <w:rPr>
          <w:b/>
        </w:rPr>
        <w:t>21.01</w:t>
      </w:r>
      <w:r w:rsidRPr="00650E73">
        <w:rPr>
          <w:b/>
        </w:rPr>
        <w:t>%</w:t>
      </w:r>
      <w:r w:rsidRPr="000B5DF7">
        <w:t>,</w:t>
      </w:r>
      <w:r w:rsidRPr="00650E73">
        <w:t xml:space="preserve"> the Median is </w:t>
      </w:r>
      <w:r w:rsidR="00766279">
        <w:rPr>
          <w:b/>
        </w:rPr>
        <w:t>16.09</w:t>
      </w:r>
      <w:r w:rsidRPr="00650E73">
        <w:rPr>
          <w:b/>
        </w:rPr>
        <w:t>%,</w:t>
      </w:r>
      <w:r w:rsidRPr="00650E73">
        <w:t xml:space="preserve"> the Mean Bonus is </w:t>
      </w:r>
      <w:r w:rsidR="00766279">
        <w:rPr>
          <w:b/>
        </w:rPr>
        <w:t>45.11</w:t>
      </w:r>
      <w:r w:rsidRPr="00650E73">
        <w:rPr>
          <w:b/>
        </w:rPr>
        <w:t>%</w:t>
      </w:r>
      <w:r w:rsidRPr="00650E73">
        <w:t xml:space="preserve"> and the Median Bonus is </w:t>
      </w:r>
      <w:r w:rsidR="00766279">
        <w:rPr>
          <w:b/>
        </w:rPr>
        <w:t>75</w:t>
      </w:r>
      <w:r w:rsidRPr="00650E73">
        <w:rPr>
          <w:b/>
        </w:rPr>
        <w:t>%</w:t>
      </w:r>
      <w:r w:rsidR="00DA3C1D">
        <w:rPr>
          <w:b/>
        </w:rPr>
        <w:t xml:space="preserve"> </w:t>
      </w:r>
      <w:r w:rsidR="00DA3C1D" w:rsidRPr="00DA3C1D">
        <w:t xml:space="preserve">in favour of </w:t>
      </w:r>
      <w:r w:rsidR="00DA3C1D">
        <w:t>the male population</w:t>
      </w:r>
      <w:r w:rsidRPr="00DA3C1D">
        <w:t>.</w:t>
      </w:r>
    </w:p>
    <w:p w:rsidR="00650E73" w:rsidRPr="00650E73" w:rsidRDefault="00650E73" w:rsidP="00AC7373">
      <w:pPr>
        <w:pStyle w:val="ListParagraph"/>
        <w:ind w:left="0"/>
        <w:rPr>
          <w:u w:val="single"/>
        </w:rPr>
      </w:pPr>
    </w:p>
    <w:p w:rsidR="00DA3C1D" w:rsidRDefault="00650E73" w:rsidP="00AC7373">
      <w:pPr>
        <w:pStyle w:val="ListParagraph"/>
        <w:numPr>
          <w:ilvl w:val="0"/>
          <w:numId w:val="25"/>
        </w:numPr>
        <w:ind w:left="0"/>
      </w:pPr>
      <w:bookmarkStart w:id="4" w:name="_Hlk121407210"/>
      <w:r w:rsidRPr="00DA3C1D">
        <w:rPr>
          <w:b/>
        </w:rPr>
        <w:t xml:space="preserve">BAME+ Pay Gap: </w:t>
      </w:r>
      <w:r w:rsidR="00DA3C1D" w:rsidRPr="00DA3C1D">
        <w:t xml:space="preserve">The </w:t>
      </w:r>
      <w:r w:rsidR="00DA3C1D">
        <w:t>Mean</w:t>
      </w:r>
      <w:r w:rsidR="004B71AD">
        <w:t xml:space="preserve"> and </w:t>
      </w:r>
      <w:r w:rsidR="00DA3C1D">
        <w:t>Median</w:t>
      </w:r>
      <w:r w:rsidR="004B71AD">
        <w:t xml:space="preserve"> </w:t>
      </w:r>
      <w:r w:rsidR="00DA3C1D" w:rsidRPr="00DA3C1D">
        <w:t>pay gap</w:t>
      </w:r>
      <w:r w:rsidR="00DA3C1D">
        <w:t>s continued</w:t>
      </w:r>
      <w:r w:rsidR="00DA3C1D" w:rsidRPr="00DA3C1D">
        <w:t xml:space="preserve"> to </w:t>
      </w:r>
      <w:r w:rsidR="0067664C">
        <w:t xml:space="preserve">be in </w:t>
      </w:r>
      <w:r w:rsidR="00DA3C1D" w:rsidRPr="00DA3C1D">
        <w:t xml:space="preserve">favour </w:t>
      </w:r>
      <w:r w:rsidR="0067664C">
        <w:t xml:space="preserve">of </w:t>
      </w:r>
      <w:r w:rsidR="00DA3C1D" w:rsidRPr="00DA3C1D">
        <w:t xml:space="preserve">the BAME+ population, </w:t>
      </w:r>
      <w:r w:rsidR="00DA3C1D">
        <w:t xml:space="preserve">with </w:t>
      </w:r>
      <w:r w:rsidR="004B71AD">
        <w:t>both pay gap</w:t>
      </w:r>
      <w:r w:rsidR="00AA49FF">
        <w:t>s</w:t>
      </w:r>
      <w:r w:rsidR="004B71AD">
        <w:t xml:space="preserve"> decreasing to their lowest levels</w:t>
      </w:r>
      <w:r w:rsidR="00C66AE1">
        <w:t>; t</w:t>
      </w:r>
      <w:r w:rsidR="00C66AE1" w:rsidRPr="00DA3C1D">
        <w:t xml:space="preserve">he Mean is now </w:t>
      </w:r>
      <w:r w:rsidR="00C66AE1">
        <w:rPr>
          <w:b/>
          <w:color w:val="FF0000"/>
        </w:rPr>
        <w:t>-7.95</w:t>
      </w:r>
      <w:r w:rsidR="00C66AE1" w:rsidRPr="0049468E">
        <w:rPr>
          <w:b/>
          <w:color w:val="FF0000"/>
        </w:rPr>
        <w:t>%,</w:t>
      </w:r>
      <w:r w:rsidR="00C66AE1" w:rsidRPr="00DA3C1D">
        <w:rPr>
          <w:color w:val="FF0000"/>
        </w:rPr>
        <w:t xml:space="preserve"> </w:t>
      </w:r>
      <w:r w:rsidR="00C66AE1">
        <w:t xml:space="preserve">the Median is </w:t>
      </w:r>
      <w:r w:rsidR="00C66AE1" w:rsidRPr="00A273DA">
        <w:rPr>
          <w:b/>
          <w:color w:val="FF0000"/>
        </w:rPr>
        <w:t>-11.60%</w:t>
      </w:r>
      <w:r w:rsidR="004B71AD">
        <w:t xml:space="preserve">. </w:t>
      </w:r>
      <w:r w:rsidR="00DA3C1D">
        <w:t xml:space="preserve">The </w:t>
      </w:r>
      <w:r w:rsidR="004B71AD">
        <w:t xml:space="preserve">Mean and </w:t>
      </w:r>
      <w:r w:rsidR="00DA3C1D">
        <w:t>Median Bonus Pay Gap significantly changed to being in favour</w:t>
      </w:r>
      <w:r w:rsidR="007A4940">
        <w:t xml:space="preserve"> of </w:t>
      </w:r>
      <w:r w:rsidR="008D3B6F">
        <w:t xml:space="preserve">White British </w:t>
      </w:r>
      <w:r w:rsidR="007A4940">
        <w:t>population</w:t>
      </w:r>
      <w:r w:rsidR="00C66AE1">
        <w:t>; t</w:t>
      </w:r>
      <w:r w:rsidR="00DA3C1D">
        <w:t xml:space="preserve">he Mean Bonus is </w:t>
      </w:r>
      <w:r w:rsidR="004B71AD" w:rsidRPr="00C66AE1">
        <w:rPr>
          <w:b/>
        </w:rPr>
        <w:t>10.98</w:t>
      </w:r>
      <w:r w:rsidR="00DA3C1D" w:rsidRPr="00C66AE1">
        <w:rPr>
          <w:b/>
        </w:rPr>
        <w:t>%</w:t>
      </w:r>
      <w:r w:rsidR="00DA3C1D" w:rsidRPr="004B71AD">
        <w:t xml:space="preserve"> </w:t>
      </w:r>
      <w:r w:rsidR="0049468E" w:rsidRPr="004B71AD">
        <w:t xml:space="preserve">in </w:t>
      </w:r>
      <w:r w:rsidR="0049468E" w:rsidRPr="0049468E">
        <w:t xml:space="preserve">favour of the </w:t>
      </w:r>
      <w:r w:rsidR="0090316D">
        <w:t>White British</w:t>
      </w:r>
      <w:r w:rsidR="0049468E" w:rsidRPr="0049468E">
        <w:t xml:space="preserve"> population, </w:t>
      </w:r>
      <w:r w:rsidR="00DA3C1D" w:rsidRPr="0049468E">
        <w:t xml:space="preserve">and the Median </w:t>
      </w:r>
      <w:r w:rsidR="00DA3C1D">
        <w:t xml:space="preserve">Bonus is </w:t>
      </w:r>
      <w:r w:rsidR="004B71AD" w:rsidRPr="00C66AE1">
        <w:rPr>
          <w:b/>
        </w:rPr>
        <w:t>58.33</w:t>
      </w:r>
      <w:r w:rsidR="00DA3C1D" w:rsidRPr="00C66AE1">
        <w:rPr>
          <w:b/>
        </w:rPr>
        <w:t>%</w:t>
      </w:r>
      <w:r w:rsidR="00DA3C1D" w:rsidRPr="00DA3C1D">
        <w:t xml:space="preserve"> </w:t>
      </w:r>
      <w:r w:rsidR="00C66AE1">
        <w:t xml:space="preserve">also </w:t>
      </w:r>
      <w:r w:rsidR="00DA3C1D" w:rsidRPr="00DA3C1D">
        <w:t xml:space="preserve">in favour of </w:t>
      </w:r>
      <w:r w:rsidR="0090316D">
        <w:t>White British</w:t>
      </w:r>
      <w:r w:rsidR="007A4940">
        <w:t xml:space="preserve"> population</w:t>
      </w:r>
      <w:r w:rsidR="00480B17">
        <w:t>.</w:t>
      </w:r>
    </w:p>
    <w:bookmarkEnd w:id="4"/>
    <w:p w:rsidR="00DA3C1D" w:rsidRDefault="00DA3C1D" w:rsidP="00AC7373">
      <w:pPr>
        <w:pStyle w:val="ListParagraph"/>
        <w:ind w:left="0"/>
      </w:pPr>
    </w:p>
    <w:p w:rsidR="00DA3C1D" w:rsidRDefault="00DA3C1D" w:rsidP="00AC7373">
      <w:pPr>
        <w:pStyle w:val="ListParagraph"/>
        <w:numPr>
          <w:ilvl w:val="0"/>
          <w:numId w:val="25"/>
        </w:numPr>
        <w:ind w:left="0"/>
      </w:pPr>
      <w:r w:rsidRPr="00DA3C1D">
        <w:rPr>
          <w:b/>
        </w:rPr>
        <w:t>People of Colour Pay Gap</w:t>
      </w:r>
      <w:r>
        <w:t xml:space="preserve">: The Mean pay gap is in favour of the White population and increased to </w:t>
      </w:r>
      <w:r w:rsidR="0063758D">
        <w:rPr>
          <w:b/>
        </w:rPr>
        <w:t>6.49</w:t>
      </w:r>
      <w:r w:rsidRPr="0049468E">
        <w:rPr>
          <w:b/>
        </w:rPr>
        <w:t>%.</w:t>
      </w:r>
      <w:r>
        <w:t xml:space="preserve"> The Median pay gap is in favour of the People of Colour population and </w:t>
      </w:r>
      <w:r w:rsidR="0063758D">
        <w:t>de</w:t>
      </w:r>
      <w:r>
        <w:t xml:space="preserve">creased to </w:t>
      </w:r>
      <w:r w:rsidR="0063758D" w:rsidRPr="0063758D">
        <w:rPr>
          <w:color w:val="FF0000"/>
        </w:rPr>
        <w:t>-</w:t>
      </w:r>
      <w:r w:rsidR="0063758D" w:rsidRPr="0063758D">
        <w:rPr>
          <w:b/>
          <w:color w:val="FF0000"/>
        </w:rPr>
        <w:t>0</w:t>
      </w:r>
      <w:r w:rsidR="0063758D">
        <w:rPr>
          <w:b/>
          <w:color w:val="FF0000"/>
        </w:rPr>
        <w:t>.09</w:t>
      </w:r>
      <w:r w:rsidRPr="0049468E">
        <w:rPr>
          <w:b/>
          <w:color w:val="FF0000"/>
        </w:rPr>
        <w:t>%.</w:t>
      </w:r>
      <w:r w:rsidRPr="00DA3C1D">
        <w:rPr>
          <w:color w:val="FF0000"/>
        </w:rPr>
        <w:t xml:space="preserve"> </w:t>
      </w:r>
      <w:r>
        <w:t xml:space="preserve">The Mean Bonus pay gap is in favour of </w:t>
      </w:r>
      <w:r w:rsidRPr="00DA3C1D">
        <w:t xml:space="preserve">the </w:t>
      </w:r>
      <w:r w:rsidR="0063758D">
        <w:t>White</w:t>
      </w:r>
      <w:r w:rsidRPr="00DA3C1D">
        <w:t xml:space="preserve"> population </w:t>
      </w:r>
      <w:r w:rsidR="0063758D">
        <w:t>with a significant change to</w:t>
      </w:r>
      <w:r>
        <w:t xml:space="preserve"> </w:t>
      </w:r>
      <w:r w:rsidR="0063758D" w:rsidRPr="0063758D">
        <w:rPr>
          <w:b/>
        </w:rPr>
        <w:t>19.14</w:t>
      </w:r>
      <w:r w:rsidRPr="0063758D">
        <w:rPr>
          <w:b/>
        </w:rPr>
        <w:t>%.</w:t>
      </w:r>
      <w:r w:rsidRPr="0063758D">
        <w:t xml:space="preserve"> </w:t>
      </w:r>
      <w:r>
        <w:t xml:space="preserve">The Median Bonus Pay Gap </w:t>
      </w:r>
      <w:r w:rsidR="0063758D">
        <w:t>further increased i</w:t>
      </w:r>
      <w:r w:rsidRPr="00DA3C1D">
        <w:t>n favour of the White</w:t>
      </w:r>
      <w:r>
        <w:t xml:space="preserve"> population to </w:t>
      </w:r>
      <w:r w:rsidR="0063758D">
        <w:rPr>
          <w:b/>
        </w:rPr>
        <w:t>75</w:t>
      </w:r>
      <w:r w:rsidRPr="0049468E">
        <w:rPr>
          <w:b/>
        </w:rPr>
        <w:t>%.</w:t>
      </w:r>
    </w:p>
    <w:p w:rsidR="0067664C" w:rsidRDefault="0067664C" w:rsidP="00AC7373">
      <w:pPr>
        <w:pStyle w:val="ListParagraph"/>
        <w:ind w:left="0"/>
      </w:pPr>
    </w:p>
    <w:p w:rsidR="00650E73" w:rsidRDefault="0067664C" w:rsidP="00AC7373">
      <w:pPr>
        <w:pStyle w:val="ListParagraph"/>
        <w:numPr>
          <w:ilvl w:val="0"/>
          <w:numId w:val="25"/>
        </w:numPr>
        <w:ind w:left="0"/>
      </w:pPr>
      <w:r w:rsidRPr="0067664C">
        <w:rPr>
          <w:b/>
        </w:rPr>
        <w:t>Disability Pay Gap</w:t>
      </w:r>
      <w:r>
        <w:t xml:space="preserve">: </w:t>
      </w:r>
      <w:r w:rsidRPr="0067664C">
        <w:t xml:space="preserve">The </w:t>
      </w:r>
      <w:r>
        <w:t>Mean and Median pay gaps continued</w:t>
      </w:r>
      <w:r w:rsidRPr="0067664C">
        <w:t xml:space="preserve"> to </w:t>
      </w:r>
      <w:r>
        <w:t xml:space="preserve">be in </w:t>
      </w:r>
      <w:r w:rsidRPr="0067664C">
        <w:t>favour</w:t>
      </w:r>
      <w:r>
        <w:t xml:space="preserve"> of</w:t>
      </w:r>
      <w:r w:rsidRPr="0067664C">
        <w:t xml:space="preserve"> the </w:t>
      </w:r>
      <w:r>
        <w:t>No Known Disability</w:t>
      </w:r>
      <w:r w:rsidRPr="0067664C">
        <w:t xml:space="preserve"> population</w:t>
      </w:r>
      <w:r>
        <w:t xml:space="preserve"> with the Mean </w:t>
      </w:r>
      <w:r w:rsidR="0063758D">
        <w:t xml:space="preserve">decreasing to </w:t>
      </w:r>
      <w:r w:rsidR="0063758D" w:rsidRPr="0063758D">
        <w:rPr>
          <w:b/>
        </w:rPr>
        <w:t>14.47</w:t>
      </w:r>
      <w:r w:rsidRPr="0063758D">
        <w:rPr>
          <w:b/>
        </w:rPr>
        <w:t>%</w:t>
      </w:r>
      <w:r>
        <w:t xml:space="preserve"> and the Median </w:t>
      </w:r>
      <w:r w:rsidR="0063758D">
        <w:t xml:space="preserve">increasing </w:t>
      </w:r>
      <w:r w:rsidR="0063758D" w:rsidRPr="0063758D">
        <w:t>to</w:t>
      </w:r>
      <w:r w:rsidR="0049468E" w:rsidRPr="0063758D">
        <w:rPr>
          <w:b/>
        </w:rPr>
        <w:t xml:space="preserve"> </w:t>
      </w:r>
      <w:r w:rsidR="0063758D" w:rsidRPr="0063758D">
        <w:rPr>
          <w:b/>
        </w:rPr>
        <w:t>7.62</w:t>
      </w:r>
      <w:r w:rsidRPr="0063758D">
        <w:rPr>
          <w:b/>
        </w:rPr>
        <w:t>%.</w:t>
      </w:r>
      <w:r>
        <w:t xml:space="preserve"> </w:t>
      </w:r>
      <w:r w:rsidR="0063758D">
        <w:t>No disabled FPRE received a bonus payment.</w:t>
      </w:r>
    </w:p>
    <w:p w:rsidR="0067664C" w:rsidRDefault="0067664C" w:rsidP="00AC7373">
      <w:pPr>
        <w:pStyle w:val="ListParagraph"/>
        <w:ind w:left="0"/>
      </w:pPr>
    </w:p>
    <w:p w:rsidR="00766279" w:rsidRDefault="0067664C" w:rsidP="00AC7373">
      <w:pPr>
        <w:pStyle w:val="ListParagraph"/>
        <w:numPr>
          <w:ilvl w:val="0"/>
          <w:numId w:val="25"/>
        </w:numPr>
        <w:ind w:left="0"/>
      </w:pPr>
      <w:r w:rsidRPr="00766279">
        <w:rPr>
          <w:b/>
        </w:rPr>
        <w:t>Sexuality Pay Gap</w:t>
      </w:r>
      <w:r>
        <w:t xml:space="preserve">: The Mean and Median pay gaps continued to be in favour of the Heterosexual population. The Mean Pay Gap </w:t>
      </w:r>
      <w:r w:rsidR="0063758D">
        <w:t>de</w:t>
      </w:r>
      <w:r>
        <w:t xml:space="preserve">creased to </w:t>
      </w:r>
      <w:r w:rsidR="0063758D">
        <w:rPr>
          <w:b/>
        </w:rPr>
        <w:t>5.88</w:t>
      </w:r>
      <w:r w:rsidRPr="00766279">
        <w:rPr>
          <w:b/>
        </w:rPr>
        <w:t>%</w:t>
      </w:r>
      <w:r>
        <w:t xml:space="preserve"> and the Median</w:t>
      </w:r>
      <w:r w:rsidR="0049468E">
        <w:t xml:space="preserve"> Pay Gap</w:t>
      </w:r>
      <w:r>
        <w:t xml:space="preserve"> </w:t>
      </w:r>
      <w:r w:rsidR="0063758D">
        <w:t>de</w:t>
      </w:r>
      <w:r>
        <w:t xml:space="preserve">creased to </w:t>
      </w:r>
      <w:r w:rsidR="0063758D">
        <w:rPr>
          <w:b/>
        </w:rPr>
        <w:t>1.21</w:t>
      </w:r>
      <w:r w:rsidRPr="00766279">
        <w:rPr>
          <w:b/>
        </w:rPr>
        <w:t>%.</w:t>
      </w:r>
      <w:r>
        <w:t xml:space="preserve"> </w:t>
      </w:r>
      <w:r w:rsidR="0063758D">
        <w:t>No LGBO FPRE received a bonus payment.</w:t>
      </w:r>
    </w:p>
    <w:p w:rsidR="00AC7373" w:rsidRDefault="00AC7373" w:rsidP="00AC7373">
      <w:r>
        <w:t>Tables 2-5 (below) outline the mean, median, mean bonus and median bonus pay gaps from March 2019 to March 2022.</w:t>
      </w:r>
    </w:p>
    <w:p w:rsidR="0077488E" w:rsidRPr="0077488E" w:rsidRDefault="0077488E" w:rsidP="002B0327">
      <w:pPr>
        <w:pStyle w:val="Caption"/>
        <w:keepNext/>
        <w:spacing w:before="200"/>
        <w:rPr>
          <w:i w:val="0"/>
          <w:color w:val="auto"/>
        </w:rPr>
      </w:pPr>
      <w:bookmarkStart w:id="5" w:name="_Toc119569353"/>
      <w:r w:rsidRPr="0077488E">
        <w:rPr>
          <w:i w:val="0"/>
          <w:color w:val="auto"/>
        </w:rPr>
        <w:t xml:space="preserve">Table </w:t>
      </w:r>
      <w:r w:rsidR="004D0F65">
        <w:rPr>
          <w:i w:val="0"/>
          <w:color w:val="auto"/>
        </w:rPr>
        <w:t>1</w:t>
      </w:r>
      <w:r w:rsidRPr="0077488E">
        <w:rPr>
          <w:i w:val="0"/>
          <w:color w:val="auto"/>
        </w:rPr>
        <w:t>: Mean Pay Gap Trend</w:t>
      </w:r>
      <w:bookmarkEnd w:id="5"/>
    </w:p>
    <w:tbl>
      <w:tblPr>
        <w:tblStyle w:val="TableGrid"/>
        <w:tblW w:w="5000" w:type="pct"/>
        <w:tblLook w:val="04A0" w:firstRow="1" w:lastRow="0" w:firstColumn="1" w:lastColumn="0" w:noHBand="0" w:noVBand="1"/>
      </w:tblPr>
      <w:tblGrid>
        <w:gridCol w:w="3666"/>
        <w:gridCol w:w="1228"/>
        <w:gridCol w:w="1228"/>
        <w:gridCol w:w="1228"/>
        <w:gridCol w:w="1031"/>
        <w:gridCol w:w="635"/>
      </w:tblGrid>
      <w:tr w:rsidR="00A67CDE" w:rsidRPr="000B5DF7" w:rsidTr="002F38AC">
        <w:tc>
          <w:tcPr>
            <w:tcW w:w="2033" w:type="pct"/>
            <w:shd w:val="clear" w:color="auto" w:fill="8EAADB" w:themeFill="accent5" w:themeFillTint="99"/>
          </w:tcPr>
          <w:p w:rsidR="00A67CDE" w:rsidRPr="000B5DF7" w:rsidRDefault="00A67CDE" w:rsidP="00A67CDE">
            <w:pPr>
              <w:rPr>
                <w:b/>
                <w:szCs w:val="24"/>
              </w:rPr>
            </w:pPr>
          </w:p>
        </w:tc>
        <w:tc>
          <w:tcPr>
            <w:tcW w:w="681" w:type="pct"/>
            <w:shd w:val="clear" w:color="auto" w:fill="8EAADB" w:themeFill="accent5" w:themeFillTint="99"/>
          </w:tcPr>
          <w:p w:rsidR="00A67CDE" w:rsidRPr="000B5DF7" w:rsidRDefault="00A67CDE" w:rsidP="00A67CDE">
            <w:pPr>
              <w:jc w:val="center"/>
              <w:rPr>
                <w:b/>
                <w:szCs w:val="24"/>
              </w:rPr>
            </w:pPr>
            <w:r w:rsidRPr="000B5DF7">
              <w:rPr>
                <w:b/>
                <w:szCs w:val="24"/>
              </w:rPr>
              <w:t>2019</w:t>
            </w:r>
          </w:p>
        </w:tc>
        <w:tc>
          <w:tcPr>
            <w:tcW w:w="681" w:type="pct"/>
            <w:shd w:val="clear" w:color="auto" w:fill="8EAADB" w:themeFill="accent5" w:themeFillTint="99"/>
          </w:tcPr>
          <w:p w:rsidR="00A67CDE" w:rsidRPr="000B5DF7" w:rsidRDefault="00A67CDE" w:rsidP="00A67CDE">
            <w:pPr>
              <w:jc w:val="center"/>
              <w:rPr>
                <w:b/>
                <w:szCs w:val="24"/>
              </w:rPr>
            </w:pPr>
            <w:r w:rsidRPr="000B5DF7">
              <w:rPr>
                <w:b/>
                <w:szCs w:val="24"/>
              </w:rPr>
              <w:t>2020</w:t>
            </w:r>
          </w:p>
        </w:tc>
        <w:tc>
          <w:tcPr>
            <w:tcW w:w="681" w:type="pct"/>
            <w:shd w:val="clear" w:color="auto" w:fill="8EAADB" w:themeFill="accent5" w:themeFillTint="99"/>
          </w:tcPr>
          <w:p w:rsidR="00A67CDE" w:rsidRPr="000B5DF7" w:rsidRDefault="00A67CDE" w:rsidP="00A67CDE">
            <w:pPr>
              <w:jc w:val="center"/>
              <w:rPr>
                <w:b/>
                <w:szCs w:val="24"/>
              </w:rPr>
            </w:pPr>
            <w:r w:rsidRPr="000B5DF7">
              <w:rPr>
                <w:b/>
                <w:szCs w:val="24"/>
              </w:rPr>
              <w:t>2021</w:t>
            </w:r>
          </w:p>
        </w:tc>
        <w:tc>
          <w:tcPr>
            <w:tcW w:w="572" w:type="pct"/>
            <w:shd w:val="clear" w:color="auto" w:fill="8EAADB" w:themeFill="accent5" w:themeFillTint="99"/>
          </w:tcPr>
          <w:p w:rsidR="00A67CDE" w:rsidRPr="000B5DF7" w:rsidRDefault="00A67CDE" w:rsidP="00A67CDE">
            <w:pPr>
              <w:jc w:val="center"/>
              <w:rPr>
                <w:b/>
                <w:szCs w:val="24"/>
              </w:rPr>
            </w:pPr>
            <w:r w:rsidRPr="000B5DF7">
              <w:rPr>
                <w:b/>
                <w:szCs w:val="24"/>
              </w:rPr>
              <w:t>202</w:t>
            </w:r>
            <w:r>
              <w:rPr>
                <w:b/>
                <w:szCs w:val="24"/>
              </w:rPr>
              <w:t>2</w:t>
            </w:r>
          </w:p>
        </w:tc>
        <w:tc>
          <w:tcPr>
            <w:tcW w:w="352" w:type="pct"/>
            <w:shd w:val="clear" w:color="auto" w:fill="8EAADB" w:themeFill="accent5" w:themeFillTint="99"/>
          </w:tcPr>
          <w:p w:rsidR="00A67CDE" w:rsidRPr="000B5DF7" w:rsidRDefault="00A67CDE" w:rsidP="00A67CDE">
            <w:pPr>
              <w:jc w:val="center"/>
              <w:rPr>
                <w:szCs w:val="24"/>
              </w:rPr>
            </w:pPr>
          </w:p>
        </w:tc>
      </w:tr>
      <w:tr w:rsidR="00A67CDE" w:rsidRPr="000B5DF7" w:rsidTr="00A67CDE">
        <w:tc>
          <w:tcPr>
            <w:tcW w:w="2033" w:type="pct"/>
          </w:tcPr>
          <w:p w:rsidR="00A67CDE" w:rsidRPr="000B5DF7" w:rsidRDefault="00A67CDE" w:rsidP="00A67CDE">
            <w:pPr>
              <w:rPr>
                <w:szCs w:val="24"/>
              </w:rPr>
            </w:pPr>
            <w:r w:rsidRPr="000B5DF7">
              <w:rPr>
                <w:szCs w:val="24"/>
              </w:rPr>
              <w:t>Female v Male</w:t>
            </w:r>
          </w:p>
        </w:tc>
        <w:tc>
          <w:tcPr>
            <w:tcW w:w="681"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22.01</w:t>
            </w:r>
          </w:p>
        </w:tc>
        <w:tc>
          <w:tcPr>
            <w:tcW w:w="681"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21.17</w:t>
            </w:r>
          </w:p>
        </w:tc>
        <w:tc>
          <w:tcPr>
            <w:tcW w:w="681"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20.50</w:t>
            </w:r>
          </w:p>
        </w:tc>
        <w:tc>
          <w:tcPr>
            <w:tcW w:w="572"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766279" w:rsidP="00A67CDE">
            <w:pPr>
              <w:jc w:val="center"/>
              <w:rPr>
                <w:rFonts w:cstheme="minorHAnsi"/>
                <w:szCs w:val="24"/>
              </w:rPr>
            </w:pPr>
            <w:r>
              <w:rPr>
                <w:rFonts w:cstheme="minorHAnsi"/>
                <w:szCs w:val="24"/>
              </w:rPr>
              <w:t>21.01</w:t>
            </w:r>
          </w:p>
        </w:tc>
        <w:tc>
          <w:tcPr>
            <w:tcW w:w="352" w:type="pct"/>
          </w:tcPr>
          <w:p w:rsidR="00A67CDE" w:rsidRPr="000B5DF7" w:rsidRDefault="00766279" w:rsidP="00A67CDE">
            <w:pPr>
              <w:jc w:val="center"/>
              <w:rPr>
                <w:szCs w:val="24"/>
              </w:rPr>
            </w:pPr>
            <w:r w:rsidRPr="007F55B5">
              <w:rPr>
                <w:rFonts w:cstheme="minorHAnsi"/>
                <w:color w:val="FF0000"/>
                <w:szCs w:val="24"/>
              </w:rPr>
              <w:t>↑</w:t>
            </w:r>
          </w:p>
        </w:tc>
      </w:tr>
      <w:tr w:rsidR="00A67CDE" w:rsidRPr="000B5DF7" w:rsidTr="00A67CDE">
        <w:tc>
          <w:tcPr>
            <w:tcW w:w="2033" w:type="pct"/>
          </w:tcPr>
          <w:p w:rsidR="00A67CDE" w:rsidRPr="000B5DF7" w:rsidRDefault="00A67CDE" w:rsidP="00A67CDE">
            <w:pPr>
              <w:rPr>
                <w:szCs w:val="24"/>
              </w:rPr>
            </w:pPr>
            <w:r w:rsidRPr="000B5DF7">
              <w:rPr>
                <w:szCs w:val="24"/>
              </w:rPr>
              <w:t>BAME+ v White British</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-12.40</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-13.23</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-10.86</w:t>
            </w:r>
          </w:p>
        </w:tc>
        <w:tc>
          <w:tcPr>
            <w:tcW w:w="572"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63758D" w:rsidP="00A67CDE">
            <w:pPr>
              <w:tabs>
                <w:tab w:val="center" w:pos="407"/>
              </w:tabs>
              <w:jc w:val="center"/>
              <w:rPr>
                <w:rFonts w:cstheme="minorHAnsi"/>
                <w:szCs w:val="24"/>
              </w:rPr>
            </w:pPr>
            <w:r w:rsidRPr="0063758D">
              <w:rPr>
                <w:rFonts w:cstheme="minorHAnsi"/>
                <w:color w:val="FF0000"/>
                <w:szCs w:val="24"/>
              </w:rPr>
              <w:t>-7.95</w:t>
            </w:r>
          </w:p>
        </w:tc>
        <w:tc>
          <w:tcPr>
            <w:tcW w:w="352" w:type="pct"/>
          </w:tcPr>
          <w:p w:rsidR="00A67CDE" w:rsidRPr="000B5DF7" w:rsidRDefault="00A67CDE" w:rsidP="00A67CDE">
            <w:pPr>
              <w:jc w:val="center"/>
              <w:rPr>
                <w:szCs w:val="24"/>
              </w:rPr>
            </w:pPr>
            <w:r w:rsidRPr="007F55B5">
              <w:rPr>
                <w:rFonts w:cstheme="minorHAnsi"/>
                <w:color w:val="00B050"/>
                <w:szCs w:val="24"/>
              </w:rPr>
              <w:t>↓</w:t>
            </w:r>
          </w:p>
        </w:tc>
      </w:tr>
      <w:tr w:rsidR="00A67CDE" w:rsidRPr="000B5DF7" w:rsidTr="00A67CDE">
        <w:tc>
          <w:tcPr>
            <w:tcW w:w="2033" w:type="pct"/>
          </w:tcPr>
          <w:p w:rsidR="00A67CDE" w:rsidRPr="000B5DF7" w:rsidRDefault="00A67CDE" w:rsidP="00A67CDE">
            <w:pPr>
              <w:rPr>
                <w:szCs w:val="24"/>
              </w:rPr>
            </w:pPr>
            <w:r w:rsidRPr="000B5DF7">
              <w:rPr>
                <w:szCs w:val="24"/>
              </w:rPr>
              <w:t>P</w:t>
            </w:r>
            <w:r w:rsidR="008D3ED5">
              <w:rPr>
                <w:szCs w:val="24"/>
              </w:rPr>
              <w:t>O</w:t>
            </w:r>
            <w:r w:rsidRPr="000B5DF7">
              <w:rPr>
                <w:szCs w:val="24"/>
              </w:rPr>
              <w:t>C v White</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000000"/>
                <w:szCs w:val="24"/>
              </w:rPr>
              <w:t>4.20</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000000"/>
                <w:szCs w:val="24"/>
              </w:rPr>
              <w:t>1.26</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000000"/>
                <w:szCs w:val="24"/>
              </w:rPr>
              <w:t>2.21</w:t>
            </w:r>
          </w:p>
        </w:tc>
        <w:tc>
          <w:tcPr>
            <w:tcW w:w="572"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63758D" w:rsidP="00A67CDE">
            <w:pPr>
              <w:jc w:val="center"/>
              <w:rPr>
                <w:rFonts w:cstheme="minorHAnsi"/>
                <w:color w:val="FF0000"/>
                <w:szCs w:val="24"/>
              </w:rPr>
            </w:pPr>
            <w:r w:rsidRPr="0063758D">
              <w:rPr>
                <w:rFonts w:cstheme="minorHAnsi"/>
                <w:szCs w:val="24"/>
              </w:rPr>
              <w:t>6.49</w:t>
            </w:r>
          </w:p>
        </w:tc>
        <w:tc>
          <w:tcPr>
            <w:tcW w:w="352" w:type="pct"/>
          </w:tcPr>
          <w:p w:rsidR="00A67CDE" w:rsidRPr="000B5DF7" w:rsidRDefault="00A67CDE" w:rsidP="00A67CDE">
            <w:pPr>
              <w:jc w:val="center"/>
              <w:rPr>
                <w:szCs w:val="24"/>
              </w:rPr>
            </w:pPr>
            <w:r w:rsidRPr="007F55B5">
              <w:rPr>
                <w:rFonts w:cstheme="minorHAnsi"/>
                <w:color w:val="FF0000"/>
                <w:szCs w:val="24"/>
              </w:rPr>
              <w:t>↑</w:t>
            </w:r>
          </w:p>
        </w:tc>
      </w:tr>
      <w:tr w:rsidR="00A67CDE" w:rsidRPr="000B5DF7" w:rsidTr="00A67CDE">
        <w:tc>
          <w:tcPr>
            <w:tcW w:w="2033" w:type="pct"/>
          </w:tcPr>
          <w:p w:rsidR="00A67CDE" w:rsidRPr="000B5DF7" w:rsidRDefault="00A67CDE" w:rsidP="00A67CDE">
            <w:pPr>
              <w:rPr>
                <w:szCs w:val="24"/>
              </w:rPr>
            </w:pPr>
            <w:r w:rsidRPr="000B5DF7">
              <w:rPr>
                <w:szCs w:val="24"/>
              </w:rPr>
              <w:t>Disabled v No Disability</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11.28</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15.04</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14.77</w:t>
            </w:r>
          </w:p>
        </w:tc>
        <w:tc>
          <w:tcPr>
            <w:tcW w:w="572"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63758D" w:rsidP="00A67CDE">
            <w:pPr>
              <w:jc w:val="center"/>
              <w:rPr>
                <w:rFonts w:cstheme="minorHAnsi"/>
                <w:szCs w:val="24"/>
              </w:rPr>
            </w:pPr>
            <w:r>
              <w:rPr>
                <w:rFonts w:cstheme="minorHAnsi"/>
                <w:szCs w:val="24"/>
              </w:rPr>
              <w:t>14.47</w:t>
            </w:r>
          </w:p>
        </w:tc>
        <w:tc>
          <w:tcPr>
            <w:tcW w:w="352" w:type="pct"/>
          </w:tcPr>
          <w:p w:rsidR="00A67CDE" w:rsidRPr="000B5DF7" w:rsidRDefault="00A67CDE" w:rsidP="00A67CDE">
            <w:pPr>
              <w:jc w:val="center"/>
              <w:rPr>
                <w:szCs w:val="24"/>
              </w:rPr>
            </w:pPr>
            <w:r w:rsidRPr="007F55B5">
              <w:rPr>
                <w:rFonts w:cstheme="minorHAnsi"/>
                <w:color w:val="00B050"/>
                <w:szCs w:val="24"/>
              </w:rPr>
              <w:t>↓</w:t>
            </w:r>
          </w:p>
        </w:tc>
      </w:tr>
      <w:tr w:rsidR="00A67CDE" w:rsidRPr="000B5DF7" w:rsidTr="00A67CDE">
        <w:tc>
          <w:tcPr>
            <w:tcW w:w="2033" w:type="pct"/>
          </w:tcPr>
          <w:p w:rsidR="00A67CDE" w:rsidRPr="000B5DF7" w:rsidRDefault="00A67CDE" w:rsidP="00A67CDE">
            <w:pPr>
              <w:rPr>
                <w:szCs w:val="24"/>
              </w:rPr>
            </w:pPr>
            <w:r w:rsidRPr="000B5DF7">
              <w:rPr>
                <w:szCs w:val="24"/>
              </w:rPr>
              <w:t>LGBO v Heterosexual</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2.11</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5.90</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6.78</w:t>
            </w:r>
          </w:p>
        </w:tc>
        <w:tc>
          <w:tcPr>
            <w:tcW w:w="572"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63758D" w:rsidP="00A67CDE">
            <w:pPr>
              <w:jc w:val="center"/>
              <w:rPr>
                <w:rFonts w:cstheme="minorHAnsi"/>
                <w:szCs w:val="24"/>
              </w:rPr>
            </w:pPr>
            <w:r>
              <w:rPr>
                <w:rFonts w:cstheme="minorHAnsi"/>
                <w:szCs w:val="24"/>
              </w:rPr>
              <w:t>5.88</w:t>
            </w:r>
          </w:p>
        </w:tc>
        <w:tc>
          <w:tcPr>
            <w:tcW w:w="352" w:type="pct"/>
          </w:tcPr>
          <w:p w:rsidR="00A67CDE" w:rsidRPr="000B5DF7" w:rsidRDefault="0063758D" w:rsidP="00A67CDE">
            <w:pPr>
              <w:jc w:val="center"/>
              <w:rPr>
                <w:rFonts w:cstheme="minorHAnsi"/>
                <w:szCs w:val="24"/>
              </w:rPr>
            </w:pPr>
            <w:r w:rsidRPr="007F55B5">
              <w:rPr>
                <w:rFonts w:cstheme="minorHAnsi"/>
                <w:color w:val="00B050"/>
                <w:szCs w:val="24"/>
              </w:rPr>
              <w:t>↓</w:t>
            </w:r>
          </w:p>
        </w:tc>
      </w:tr>
    </w:tbl>
    <w:p w:rsidR="0077488E" w:rsidRPr="0077488E" w:rsidRDefault="0077488E" w:rsidP="002B0327">
      <w:pPr>
        <w:pStyle w:val="Caption"/>
        <w:keepNext/>
        <w:spacing w:before="200"/>
        <w:rPr>
          <w:i w:val="0"/>
          <w:color w:val="auto"/>
        </w:rPr>
      </w:pPr>
      <w:bookmarkStart w:id="6" w:name="_Toc119569354"/>
      <w:r w:rsidRPr="0077488E">
        <w:rPr>
          <w:i w:val="0"/>
          <w:color w:val="auto"/>
        </w:rPr>
        <w:t xml:space="preserve">Table </w:t>
      </w:r>
      <w:r w:rsidR="005541EA">
        <w:rPr>
          <w:i w:val="0"/>
          <w:color w:val="auto"/>
        </w:rPr>
        <w:t>2</w:t>
      </w:r>
      <w:r w:rsidRPr="0077488E">
        <w:rPr>
          <w:i w:val="0"/>
          <w:color w:val="auto"/>
        </w:rPr>
        <w:t>: Median Pay Gaps Trend</w:t>
      </w:r>
      <w:bookmarkEnd w:id="6"/>
    </w:p>
    <w:tbl>
      <w:tblPr>
        <w:tblStyle w:val="TableGrid"/>
        <w:tblW w:w="5000" w:type="pct"/>
        <w:tblLook w:val="04A0" w:firstRow="1" w:lastRow="0" w:firstColumn="1" w:lastColumn="0" w:noHBand="0" w:noVBand="1"/>
      </w:tblPr>
      <w:tblGrid>
        <w:gridCol w:w="3666"/>
        <w:gridCol w:w="1228"/>
        <w:gridCol w:w="1228"/>
        <w:gridCol w:w="1228"/>
        <w:gridCol w:w="1031"/>
        <w:gridCol w:w="635"/>
      </w:tblGrid>
      <w:tr w:rsidR="00A67CDE" w:rsidRPr="00FD1A75" w:rsidTr="0077488E">
        <w:tc>
          <w:tcPr>
            <w:tcW w:w="2033" w:type="pct"/>
            <w:shd w:val="clear" w:color="auto" w:fill="8EAADB" w:themeFill="accent5" w:themeFillTint="99"/>
          </w:tcPr>
          <w:p w:rsidR="00A67CDE" w:rsidRPr="00FD1A75" w:rsidRDefault="00A67CDE" w:rsidP="00A67CDE">
            <w:pPr>
              <w:rPr>
                <w:b/>
              </w:rPr>
            </w:pPr>
          </w:p>
        </w:tc>
        <w:tc>
          <w:tcPr>
            <w:tcW w:w="681" w:type="pct"/>
            <w:shd w:val="clear" w:color="auto" w:fill="8EAADB" w:themeFill="accent5" w:themeFillTint="99"/>
          </w:tcPr>
          <w:p w:rsidR="00A67CDE" w:rsidRPr="00FD1A75" w:rsidRDefault="00A67CDE" w:rsidP="00A67CDE">
            <w:pPr>
              <w:jc w:val="center"/>
              <w:rPr>
                <w:b/>
              </w:rPr>
            </w:pPr>
            <w:r w:rsidRPr="00FD1A75">
              <w:rPr>
                <w:b/>
              </w:rPr>
              <w:t>2019</w:t>
            </w:r>
          </w:p>
        </w:tc>
        <w:tc>
          <w:tcPr>
            <w:tcW w:w="681" w:type="pct"/>
            <w:shd w:val="clear" w:color="auto" w:fill="8EAADB" w:themeFill="accent5" w:themeFillTint="99"/>
          </w:tcPr>
          <w:p w:rsidR="00A67CDE" w:rsidRPr="00FD1A75" w:rsidRDefault="00A67CDE" w:rsidP="00A67CDE">
            <w:pPr>
              <w:jc w:val="center"/>
              <w:rPr>
                <w:b/>
              </w:rPr>
            </w:pPr>
            <w:r w:rsidRPr="00FD1A75">
              <w:rPr>
                <w:b/>
              </w:rPr>
              <w:t>2020</w:t>
            </w:r>
          </w:p>
        </w:tc>
        <w:tc>
          <w:tcPr>
            <w:tcW w:w="681" w:type="pct"/>
            <w:shd w:val="clear" w:color="auto" w:fill="8EAADB" w:themeFill="accent5" w:themeFillTint="99"/>
          </w:tcPr>
          <w:p w:rsidR="00A67CDE" w:rsidRPr="00FD1A75" w:rsidRDefault="00A67CDE" w:rsidP="00A67CDE">
            <w:pPr>
              <w:jc w:val="center"/>
              <w:rPr>
                <w:b/>
              </w:rPr>
            </w:pPr>
            <w:r w:rsidRPr="00410801">
              <w:rPr>
                <w:b/>
              </w:rPr>
              <w:t>2021</w:t>
            </w:r>
          </w:p>
        </w:tc>
        <w:tc>
          <w:tcPr>
            <w:tcW w:w="572" w:type="pct"/>
            <w:shd w:val="clear" w:color="auto" w:fill="8EAADB" w:themeFill="accent5" w:themeFillTint="99"/>
          </w:tcPr>
          <w:p w:rsidR="00A67CDE" w:rsidRPr="00410801" w:rsidRDefault="00A67CDE" w:rsidP="00A67CDE">
            <w:pPr>
              <w:jc w:val="center"/>
              <w:rPr>
                <w:b/>
              </w:rPr>
            </w:pPr>
            <w:r w:rsidRPr="00410801">
              <w:rPr>
                <w:b/>
              </w:rPr>
              <w:t>202</w:t>
            </w:r>
            <w:r>
              <w:rPr>
                <w:b/>
              </w:rPr>
              <w:t>2</w:t>
            </w:r>
          </w:p>
        </w:tc>
        <w:tc>
          <w:tcPr>
            <w:tcW w:w="352" w:type="pct"/>
            <w:shd w:val="clear" w:color="auto" w:fill="8EAADB" w:themeFill="accent5" w:themeFillTint="99"/>
          </w:tcPr>
          <w:p w:rsidR="00A67CDE" w:rsidRPr="00066C43" w:rsidRDefault="00A67CDE" w:rsidP="00A67CDE">
            <w:pPr>
              <w:jc w:val="center"/>
            </w:pPr>
          </w:p>
        </w:tc>
      </w:tr>
      <w:tr w:rsidR="00A67CDE" w:rsidRPr="00FD1A75" w:rsidTr="00A67CDE">
        <w:tc>
          <w:tcPr>
            <w:tcW w:w="2033" w:type="pct"/>
          </w:tcPr>
          <w:p w:rsidR="00A67CDE" w:rsidRPr="00FD1A75" w:rsidRDefault="00A67CDE" w:rsidP="00A67CDE">
            <w:r w:rsidRPr="00FD1A75">
              <w:t>Female v Male</w:t>
            </w:r>
          </w:p>
        </w:tc>
        <w:tc>
          <w:tcPr>
            <w:tcW w:w="681" w:type="pct"/>
            <w:shd w:val="clear" w:color="auto" w:fill="auto"/>
          </w:tcPr>
          <w:p w:rsidR="00A67CDE" w:rsidRPr="00FD1A75" w:rsidRDefault="00A67CDE" w:rsidP="00A67CDE">
            <w:pPr>
              <w:jc w:val="center"/>
            </w:pPr>
            <w:r>
              <w:t>15.49</w:t>
            </w:r>
          </w:p>
        </w:tc>
        <w:tc>
          <w:tcPr>
            <w:tcW w:w="681" w:type="pct"/>
            <w:shd w:val="clear" w:color="auto" w:fill="auto"/>
          </w:tcPr>
          <w:p w:rsidR="00A67CDE" w:rsidRPr="00FD1A75" w:rsidRDefault="00A67CDE" w:rsidP="00A67CDE">
            <w:pPr>
              <w:jc w:val="center"/>
            </w:pPr>
            <w:r>
              <w:t>16.18</w:t>
            </w:r>
          </w:p>
        </w:tc>
        <w:tc>
          <w:tcPr>
            <w:tcW w:w="681" w:type="pct"/>
          </w:tcPr>
          <w:p w:rsidR="00A67CDE" w:rsidRPr="00FD1A75" w:rsidRDefault="00A67CDE" w:rsidP="00A67CDE">
            <w:pPr>
              <w:jc w:val="center"/>
            </w:pPr>
            <w:r w:rsidRPr="00247638">
              <w:rPr>
                <w:rFonts w:cstheme="minorHAnsi"/>
              </w:rPr>
              <w:t>14.12</w:t>
            </w:r>
          </w:p>
        </w:tc>
        <w:tc>
          <w:tcPr>
            <w:tcW w:w="572" w:type="pct"/>
          </w:tcPr>
          <w:p w:rsidR="00A67CDE" w:rsidRPr="00247638" w:rsidRDefault="00766279" w:rsidP="00A67CDE">
            <w:pPr>
              <w:jc w:val="center"/>
              <w:rPr>
                <w:rFonts w:cstheme="minorHAnsi"/>
              </w:rPr>
            </w:pPr>
            <w:r>
              <w:rPr>
                <w:rFonts w:cstheme="minorHAnsi"/>
              </w:rPr>
              <w:t>16.09</w:t>
            </w:r>
          </w:p>
        </w:tc>
        <w:tc>
          <w:tcPr>
            <w:tcW w:w="352" w:type="pct"/>
          </w:tcPr>
          <w:p w:rsidR="00A67CDE" w:rsidRPr="00247638" w:rsidRDefault="00766279" w:rsidP="00A67CDE">
            <w:pPr>
              <w:jc w:val="center"/>
            </w:pPr>
            <w:r w:rsidRPr="007F55B5">
              <w:rPr>
                <w:rFonts w:cstheme="minorHAnsi"/>
                <w:color w:val="FF0000"/>
                <w:szCs w:val="24"/>
              </w:rPr>
              <w:t>↑</w:t>
            </w:r>
          </w:p>
        </w:tc>
      </w:tr>
      <w:tr w:rsidR="00A67CDE" w:rsidRPr="00FD1A75" w:rsidTr="00A67CDE">
        <w:tc>
          <w:tcPr>
            <w:tcW w:w="2033" w:type="pct"/>
          </w:tcPr>
          <w:p w:rsidR="00A67CDE" w:rsidRPr="00FD1A75" w:rsidRDefault="00A67CDE" w:rsidP="00A67CDE">
            <w:r w:rsidRPr="00FD1A75">
              <w:t>BAME</w:t>
            </w:r>
            <w:r>
              <w:t>+</w:t>
            </w:r>
            <w:r w:rsidRPr="00FD1A75">
              <w:t xml:space="preserve"> v White British</w:t>
            </w:r>
          </w:p>
        </w:tc>
        <w:tc>
          <w:tcPr>
            <w:tcW w:w="681" w:type="pct"/>
            <w:shd w:val="clear" w:color="auto" w:fill="auto"/>
          </w:tcPr>
          <w:p w:rsidR="00A67CDE" w:rsidRPr="00FD1A75" w:rsidRDefault="00A67CDE" w:rsidP="00A67CDE">
            <w:pPr>
              <w:jc w:val="center"/>
              <w:rPr>
                <w:color w:val="FF0000"/>
              </w:rPr>
            </w:pPr>
            <w:r>
              <w:rPr>
                <w:color w:val="FF0000"/>
              </w:rPr>
              <w:t>-12.34</w:t>
            </w:r>
          </w:p>
        </w:tc>
        <w:tc>
          <w:tcPr>
            <w:tcW w:w="681" w:type="pct"/>
            <w:shd w:val="clear" w:color="auto" w:fill="auto"/>
          </w:tcPr>
          <w:p w:rsidR="00A67CDE" w:rsidRPr="00FD1A75" w:rsidRDefault="00A67CDE" w:rsidP="00A67CDE">
            <w:pPr>
              <w:jc w:val="center"/>
              <w:rPr>
                <w:color w:val="FF0000"/>
              </w:rPr>
            </w:pPr>
            <w:r w:rsidRPr="0038061C">
              <w:rPr>
                <w:color w:val="FF0000"/>
              </w:rPr>
              <w:t>-14.57</w:t>
            </w:r>
          </w:p>
        </w:tc>
        <w:tc>
          <w:tcPr>
            <w:tcW w:w="681" w:type="pct"/>
          </w:tcPr>
          <w:p w:rsidR="00A67CDE" w:rsidRPr="0038061C" w:rsidRDefault="00A67CDE" w:rsidP="00A67CDE">
            <w:pPr>
              <w:jc w:val="center"/>
              <w:rPr>
                <w:color w:val="FF0000"/>
              </w:rPr>
            </w:pPr>
            <w:r w:rsidRPr="00247638">
              <w:rPr>
                <w:rFonts w:cstheme="minorHAnsi"/>
                <w:color w:val="FF0000"/>
              </w:rPr>
              <w:t>-12.49</w:t>
            </w:r>
          </w:p>
        </w:tc>
        <w:tc>
          <w:tcPr>
            <w:tcW w:w="572" w:type="pct"/>
          </w:tcPr>
          <w:p w:rsidR="00A67CDE" w:rsidRPr="00247638" w:rsidRDefault="0063758D" w:rsidP="00A67CDE">
            <w:pPr>
              <w:tabs>
                <w:tab w:val="center" w:pos="407"/>
              </w:tabs>
              <w:jc w:val="center"/>
              <w:rPr>
                <w:rFonts w:cstheme="minorHAnsi"/>
              </w:rPr>
            </w:pPr>
            <w:r w:rsidRPr="0063758D">
              <w:rPr>
                <w:rFonts w:cstheme="minorHAnsi"/>
                <w:color w:val="FF0000"/>
              </w:rPr>
              <w:t>-11.60</w:t>
            </w:r>
          </w:p>
        </w:tc>
        <w:tc>
          <w:tcPr>
            <w:tcW w:w="352" w:type="pct"/>
          </w:tcPr>
          <w:p w:rsidR="00A67CDE" w:rsidRPr="00247638" w:rsidRDefault="00A67CDE" w:rsidP="00A67CDE">
            <w:pPr>
              <w:jc w:val="center"/>
            </w:pPr>
            <w:r w:rsidRPr="007F55B5">
              <w:rPr>
                <w:rFonts w:cstheme="minorHAnsi"/>
                <w:color w:val="00B050"/>
              </w:rPr>
              <w:t>↓</w:t>
            </w:r>
          </w:p>
        </w:tc>
      </w:tr>
      <w:tr w:rsidR="00A67CDE" w:rsidRPr="00FD1A75" w:rsidTr="00A67CDE">
        <w:tc>
          <w:tcPr>
            <w:tcW w:w="2033" w:type="pct"/>
          </w:tcPr>
          <w:p w:rsidR="00A67CDE" w:rsidRPr="00FD1A75" w:rsidRDefault="00A67CDE" w:rsidP="00A67CDE">
            <w:r w:rsidRPr="00FD1A75">
              <w:t>P</w:t>
            </w:r>
            <w:r w:rsidR="008D3ED5">
              <w:t>O</w:t>
            </w:r>
            <w:r w:rsidRPr="00FD1A75">
              <w:t>C v White</w:t>
            </w:r>
          </w:p>
        </w:tc>
        <w:tc>
          <w:tcPr>
            <w:tcW w:w="681" w:type="pct"/>
            <w:shd w:val="clear" w:color="auto" w:fill="auto"/>
          </w:tcPr>
          <w:p w:rsidR="00A67CDE" w:rsidRPr="00FD1A75" w:rsidRDefault="00A67CDE" w:rsidP="00A67CDE">
            <w:pPr>
              <w:jc w:val="center"/>
              <w:rPr>
                <w:color w:val="FF0000"/>
              </w:rPr>
            </w:pPr>
            <w:r>
              <w:rPr>
                <w:color w:val="FF0000"/>
              </w:rPr>
              <w:t>-0.53</w:t>
            </w:r>
          </w:p>
        </w:tc>
        <w:tc>
          <w:tcPr>
            <w:tcW w:w="681" w:type="pct"/>
            <w:shd w:val="clear" w:color="auto" w:fill="auto"/>
          </w:tcPr>
          <w:p w:rsidR="00A67CDE" w:rsidRPr="00FD1A75" w:rsidRDefault="00A67CDE" w:rsidP="00A67CDE">
            <w:pPr>
              <w:jc w:val="center"/>
              <w:rPr>
                <w:color w:val="FF0000"/>
              </w:rPr>
            </w:pPr>
            <w:r w:rsidRPr="00247638">
              <w:rPr>
                <w:color w:val="FF0000"/>
              </w:rPr>
              <w:t>-0.83</w:t>
            </w:r>
          </w:p>
        </w:tc>
        <w:tc>
          <w:tcPr>
            <w:tcW w:w="681" w:type="pct"/>
          </w:tcPr>
          <w:p w:rsidR="00A67CDE" w:rsidRPr="00247638" w:rsidRDefault="00A67CDE" w:rsidP="00A67CDE">
            <w:pPr>
              <w:jc w:val="center"/>
              <w:rPr>
                <w:color w:val="FF0000"/>
              </w:rPr>
            </w:pPr>
            <w:r w:rsidRPr="00247638">
              <w:rPr>
                <w:rFonts w:cstheme="minorHAnsi"/>
                <w:color w:val="FF0000"/>
              </w:rPr>
              <w:t>-1.12</w:t>
            </w:r>
          </w:p>
        </w:tc>
        <w:tc>
          <w:tcPr>
            <w:tcW w:w="572" w:type="pct"/>
          </w:tcPr>
          <w:p w:rsidR="00A67CDE" w:rsidRPr="00247638" w:rsidRDefault="0063758D" w:rsidP="00A67CDE">
            <w:pPr>
              <w:jc w:val="center"/>
              <w:rPr>
                <w:rFonts w:cstheme="minorHAnsi"/>
                <w:color w:val="FF0000"/>
              </w:rPr>
            </w:pPr>
            <w:r w:rsidRPr="0063758D">
              <w:rPr>
                <w:rFonts w:cstheme="minorHAnsi"/>
                <w:color w:val="FF0000"/>
              </w:rPr>
              <w:t>-0.09</w:t>
            </w:r>
          </w:p>
        </w:tc>
        <w:tc>
          <w:tcPr>
            <w:tcW w:w="352" w:type="pct"/>
          </w:tcPr>
          <w:p w:rsidR="00A67CDE" w:rsidRPr="00247638" w:rsidRDefault="0063758D" w:rsidP="00A67CDE">
            <w:pPr>
              <w:jc w:val="center"/>
            </w:pPr>
            <w:r w:rsidRPr="007F55B5">
              <w:rPr>
                <w:rFonts w:cstheme="minorHAnsi"/>
                <w:color w:val="00B050"/>
              </w:rPr>
              <w:t>↓</w:t>
            </w:r>
          </w:p>
        </w:tc>
      </w:tr>
      <w:tr w:rsidR="00A67CDE" w:rsidRPr="00FD1A75" w:rsidTr="00A67CDE">
        <w:tc>
          <w:tcPr>
            <w:tcW w:w="2033" w:type="pct"/>
          </w:tcPr>
          <w:p w:rsidR="00A67CDE" w:rsidRPr="00FD1A75" w:rsidRDefault="00A67CDE" w:rsidP="00A67CDE">
            <w:r w:rsidRPr="00FD1A75">
              <w:lastRenderedPageBreak/>
              <w:t>Disabled v No Disability</w:t>
            </w:r>
          </w:p>
        </w:tc>
        <w:tc>
          <w:tcPr>
            <w:tcW w:w="681" w:type="pct"/>
            <w:shd w:val="clear" w:color="auto" w:fill="auto"/>
          </w:tcPr>
          <w:p w:rsidR="00A67CDE" w:rsidRPr="00FD1A75" w:rsidRDefault="00A67CDE" w:rsidP="00A67CDE">
            <w:pPr>
              <w:jc w:val="center"/>
            </w:pPr>
            <w:r>
              <w:t>9.59</w:t>
            </w:r>
          </w:p>
        </w:tc>
        <w:tc>
          <w:tcPr>
            <w:tcW w:w="681" w:type="pct"/>
            <w:shd w:val="clear" w:color="auto" w:fill="auto"/>
          </w:tcPr>
          <w:p w:rsidR="00A67CDE" w:rsidRPr="00FD1A75" w:rsidRDefault="00A67CDE" w:rsidP="00A67CDE">
            <w:pPr>
              <w:jc w:val="center"/>
            </w:pPr>
            <w:r>
              <w:t>9.73</w:t>
            </w:r>
          </w:p>
        </w:tc>
        <w:tc>
          <w:tcPr>
            <w:tcW w:w="681" w:type="pct"/>
          </w:tcPr>
          <w:p w:rsidR="00A67CDE" w:rsidRPr="00FD1A75" w:rsidRDefault="00A67CDE" w:rsidP="00A67CDE">
            <w:pPr>
              <w:jc w:val="center"/>
            </w:pPr>
            <w:r>
              <w:rPr>
                <w:rFonts w:cstheme="minorHAnsi"/>
              </w:rPr>
              <w:t>7.02</w:t>
            </w:r>
          </w:p>
        </w:tc>
        <w:tc>
          <w:tcPr>
            <w:tcW w:w="572" w:type="pct"/>
          </w:tcPr>
          <w:p w:rsidR="00A67CDE" w:rsidRPr="00247638" w:rsidRDefault="0063758D" w:rsidP="00A67CDE">
            <w:pPr>
              <w:jc w:val="center"/>
              <w:rPr>
                <w:rFonts w:cstheme="minorHAnsi"/>
              </w:rPr>
            </w:pPr>
            <w:r>
              <w:rPr>
                <w:rFonts w:cstheme="minorHAnsi"/>
              </w:rPr>
              <w:t>7.62</w:t>
            </w:r>
          </w:p>
        </w:tc>
        <w:tc>
          <w:tcPr>
            <w:tcW w:w="352" w:type="pct"/>
          </w:tcPr>
          <w:p w:rsidR="00A67CDE" w:rsidRPr="00247638" w:rsidRDefault="0063758D" w:rsidP="00A67CDE">
            <w:pPr>
              <w:jc w:val="center"/>
            </w:pPr>
            <w:r w:rsidRPr="007F55B5">
              <w:rPr>
                <w:rFonts w:cstheme="minorHAnsi"/>
                <w:color w:val="FF0000"/>
                <w:szCs w:val="24"/>
              </w:rPr>
              <w:t>↑</w:t>
            </w:r>
          </w:p>
        </w:tc>
      </w:tr>
      <w:tr w:rsidR="00A67CDE" w:rsidRPr="00FD1A75" w:rsidTr="00A67CDE">
        <w:tc>
          <w:tcPr>
            <w:tcW w:w="2033" w:type="pct"/>
          </w:tcPr>
          <w:p w:rsidR="00A67CDE" w:rsidRPr="00FD1A75" w:rsidRDefault="00A67CDE" w:rsidP="00A67CDE">
            <w:r>
              <w:t>LGBO v Heterosexual</w:t>
            </w:r>
          </w:p>
        </w:tc>
        <w:tc>
          <w:tcPr>
            <w:tcW w:w="681" w:type="pct"/>
            <w:shd w:val="clear" w:color="auto" w:fill="auto"/>
          </w:tcPr>
          <w:p w:rsidR="00A67CDE" w:rsidRDefault="00A67CDE" w:rsidP="00A67CDE">
            <w:pPr>
              <w:jc w:val="center"/>
            </w:pPr>
            <w:r>
              <w:t>2.89</w:t>
            </w:r>
          </w:p>
        </w:tc>
        <w:tc>
          <w:tcPr>
            <w:tcW w:w="681" w:type="pct"/>
            <w:shd w:val="clear" w:color="auto" w:fill="auto"/>
          </w:tcPr>
          <w:p w:rsidR="00A67CDE" w:rsidRDefault="00A67CDE" w:rsidP="00A67CDE">
            <w:pPr>
              <w:jc w:val="center"/>
            </w:pPr>
            <w:r>
              <w:t>3.23</w:t>
            </w:r>
          </w:p>
        </w:tc>
        <w:tc>
          <w:tcPr>
            <w:tcW w:w="681" w:type="pct"/>
          </w:tcPr>
          <w:p w:rsidR="00A67CDE" w:rsidRDefault="00A67CDE" w:rsidP="00A67CDE">
            <w:pPr>
              <w:jc w:val="center"/>
            </w:pPr>
            <w:r>
              <w:rPr>
                <w:rFonts w:cstheme="minorHAnsi"/>
              </w:rPr>
              <w:t>4.15</w:t>
            </w:r>
          </w:p>
        </w:tc>
        <w:tc>
          <w:tcPr>
            <w:tcW w:w="572" w:type="pct"/>
          </w:tcPr>
          <w:p w:rsidR="00A67CDE" w:rsidRPr="00247638" w:rsidRDefault="0063758D" w:rsidP="00A67CDE">
            <w:pPr>
              <w:jc w:val="center"/>
              <w:rPr>
                <w:rFonts w:cstheme="minorHAnsi"/>
              </w:rPr>
            </w:pPr>
            <w:r>
              <w:rPr>
                <w:rFonts w:cstheme="minorHAnsi"/>
              </w:rPr>
              <w:t>1.21</w:t>
            </w:r>
          </w:p>
        </w:tc>
        <w:tc>
          <w:tcPr>
            <w:tcW w:w="352" w:type="pct"/>
          </w:tcPr>
          <w:p w:rsidR="00A67CDE" w:rsidRPr="00247638" w:rsidRDefault="0063758D" w:rsidP="00A67CDE">
            <w:pPr>
              <w:jc w:val="center"/>
              <w:rPr>
                <w:rFonts w:cstheme="minorHAnsi"/>
              </w:rPr>
            </w:pPr>
            <w:r w:rsidRPr="007F55B5">
              <w:rPr>
                <w:rFonts w:cstheme="minorHAnsi"/>
                <w:color w:val="00B050"/>
              </w:rPr>
              <w:t>↓</w:t>
            </w:r>
          </w:p>
        </w:tc>
      </w:tr>
    </w:tbl>
    <w:p w:rsidR="0077488E" w:rsidRPr="0077488E" w:rsidRDefault="0077488E" w:rsidP="002B0327">
      <w:pPr>
        <w:pStyle w:val="Caption"/>
        <w:keepNext/>
        <w:spacing w:before="200"/>
        <w:rPr>
          <w:i w:val="0"/>
          <w:color w:val="auto"/>
        </w:rPr>
      </w:pPr>
      <w:bookmarkStart w:id="7" w:name="_Toc119569355"/>
      <w:r w:rsidRPr="0077488E">
        <w:rPr>
          <w:i w:val="0"/>
          <w:color w:val="auto"/>
        </w:rPr>
        <w:t xml:space="preserve">Table </w:t>
      </w:r>
      <w:r w:rsidR="005541EA">
        <w:rPr>
          <w:i w:val="0"/>
          <w:color w:val="auto"/>
        </w:rPr>
        <w:t>3</w:t>
      </w:r>
      <w:r w:rsidRPr="0077488E">
        <w:rPr>
          <w:i w:val="0"/>
          <w:color w:val="auto"/>
        </w:rPr>
        <w:t>: Mean Bonus Pay Gap Trend</w:t>
      </w:r>
      <w:bookmarkEnd w:id="7"/>
    </w:p>
    <w:tbl>
      <w:tblPr>
        <w:tblStyle w:val="TableGrid"/>
        <w:tblW w:w="5000" w:type="pct"/>
        <w:tblLook w:val="04A0" w:firstRow="1" w:lastRow="0" w:firstColumn="1" w:lastColumn="0" w:noHBand="0" w:noVBand="1"/>
      </w:tblPr>
      <w:tblGrid>
        <w:gridCol w:w="3666"/>
        <w:gridCol w:w="1228"/>
        <w:gridCol w:w="1228"/>
        <w:gridCol w:w="1228"/>
        <w:gridCol w:w="1031"/>
        <w:gridCol w:w="635"/>
      </w:tblGrid>
      <w:tr w:rsidR="00A67CDE" w:rsidRPr="000B5DF7" w:rsidTr="0077488E">
        <w:tc>
          <w:tcPr>
            <w:tcW w:w="2033" w:type="pct"/>
            <w:shd w:val="clear" w:color="auto" w:fill="8EAADB" w:themeFill="accent5" w:themeFillTint="99"/>
          </w:tcPr>
          <w:p w:rsidR="00A67CDE" w:rsidRPr="000B5DF7" w:rsidRDefault="00A67CDE" w:rsidP="00A67CDE">
            <w:pPr>
              <w:rPr>
                <w:b/>
                <w:szCs w:val="24"/>
              </w:rPr>
            </w:pPr>
          </w:p>
        </w:tc>
        <w:tc>
          <w:tcPr>
            <w:tcW w:w="681" w:type="pct"/>
            <w:shd w:val="clear" w:color="auto" w:fill="8EAADB" w:themeFill="accent5" w:themeFillTint="99"/>
          </w:tcPr>
          <w:p w:rsidR="00A67CDE" w:rsidRPr="000B5DF7" w:rsidRDefault="00A67CDE" w:rsidP="00A67CDE">
            <w:pPr>
              <w:jc w:val="center"/>
              <w:rPr>
                <w:b/>
                <w:szCs w:val="24"/>
              </w:rPr>
            </w:pPr>
            <w:r w:rsidRPr="000B5DF7">
              <w:rPr>
                <w:b/>
                <w:szCs w:val="24"/>
              </w:rPr>
              <w:t>2019</w:t>
            </w:r>
          </w:p>
        </w:tc>
        <w:tc>
          <w:tcPr>
            <w:tcW w:w="681" w:type="pct"/>
            <w:shd w:val="clear" w:color="auto" w:fill="8EAADB" w:themeFill="accent5" w:themeFillTint="99"/>
          </w:tcPr>
          <w:p w:rsidR="00A67CDE" w:rsidRPr="000B5DF7" w:rsidRDefault="00A67CDE" w:rsidP="00A67CDE">
            <w:pPr>
              <w:jc w:val="center"/>
              <w:rPr>
                <w:b/>
                <w:szCs w:val="24"/>
              </w:rPr>
            </w:pPr>
            <w:r w:rsidRPr="000B5DF7">
              <w:rPr>
                <w:b/>
                <w:szCs w:val="24"/>
              </w:rPr>
              <w:t>2020</w:t>
            </w:r>
          </w:p>
        </w:tc>
        <w:tc>
          <w:tcPr>
            <w:tcW w:w="681" w:type="pct"/>
            <w:shd w:val="clear" w:color="auto" w:fill="8EAADB" w:themeFill="accent5" w:themeFillTint="99"/>
          </w:tcPr>
          <w:p w:rsidR="00A67CDE" w:rsidRPr="000B5DF7" w:rsidRDefault="00A67CDE" w:rsidP="00A67CDE">
            <w:pPr>
              <w:jc w:val="center"/>
              <w:rPr>
                <w:b/>
                <w:szCs w:val="24"/>
              </w:rPr>
            </w:pPr>
            <w:r w:rsidRPr="000B5DF7">
              <w:rPr>
                <w:b/>
                <w:szCs w:val="24"/>
              </w:rPr>
              <w:t>2021</w:t>
            </w:r>
          </w:p>
        </w:tc>
        <w:tc>
          <w:tcPr>
            <w:tcW w:w="572" w:type="pct"/>
            <w:shd w:val="clear" w:color="auto" w:fill="8EAADB" w:themeFill="accent5" w:themeFillTint="99"/>
          </w:tcPr>
          <w:p w:rsidR="00A67CDE" w:rsidRPr="000B5DF7" w:rsidRDefault="00A67CDE" w:rsidP="00A67CDE">
            <w:pPr>
              <w:jc w:val="center"/>
              <w:rPr>
                <w:b/>
                <w:szCs w:val="24"/>
              </w:rPr>
            </w:pPr>
            <w:r w:rsidRPr="000B5DF7">
              <w:rPr>
                <w:b/>
                <w:szCs w:val="24"/>
              </w:rPr>
              <w:t>202</w:t>
            </w:r>
            <w:r>
              <w:rPr>
                <w:b/>
                <w:szCs w:val="24"/>
              </w:rPr>
              <w:t>2</w:t>
            </w:r>
          </w:p>
        </w:tc>
        <w:tc>
          <w:tcPr>
            <w:tcW w:w="352" w:type="pct"/>
            <w:shd w:val="clear" w:color="auto" w:fill="8EAADB" w:themeFill="accent5" w:themeFillTint="99"/>
          </w:tcPr>
          <w:p w:rsidR="00A67CDE" w:rsidRPr="000B5DF7" w:rsidRDefault="00A67CDE" w:rsidP="00A67CDE">
            <w:pPr>
              <w:jc w:val="center"/>
              <w:rPr>
                <w:szCs w:val="24"/>
              </w:rPr>
            </w:pPr>
          </w:p>
        </w:tc>
      </w:tr>
      <w:tr w:rsidR="00A67CDE" w:rsidRPr="000B5DF7" w:rsidTr="00A67CDE">
        <w:tc>
          <w:tcPr>
            <w:tcW w:w="2033" w:type="pct"/>
          </w:tcPr>
          <w:p w:rsidR="00A67CDE" w:rsidRPr="000B5DF7" w:rsidRDefault="00A67CDE" w:rsidP="00A67CDE">
            <w:pPr>
              <w:rPr>
                <w:szCs w:val="24"/>
              </w:rPr>
            </w:pPr>
            <w:r w:rsidRPr="000B5DF7">
              <w:rPr>
                <w:szCs w:val="24"/>
              </w:rPr>
              <w:t>Female v Male</w:t>
            </w:r>
          </w:p>
        </w:tc>
        <w:tc>
          <w:tcPr>
            <w:tcW w:w="681"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79.10 </w:t>
            </w:r>
          </w:p>
        </w:tc>
        <w:tc>
          <w:tcPr>
            <w:tcW w:w="681"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68.35 </w:t>
            </w:r>
          </w:p>
        </w:tc>
        <w:tc>
          <w:tcPr>
            <w:tcW w:w="681"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39.74 </w:t>
            </w:r>
          </w:p>
        </w:tc>
        <w:tc>
          <w:tcPr>
            <w:tcW w:w="572"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766279" w:rsidP="00A67CDE">
            <w:pPr>
              <w:jc w:val="center"/>
              <w:rPr>
                <w:rFonts w:cstheme="minorHAnsi"/>
                <w:szCs w:val="24"/>
              </w:rPr>
            </w:pPr>
            <w:r>
              <w:rPr>
                <w:rFonts w:cstheme="minorHAnsi"/>
                <w:szCs w:val="24"/>
              </w:rPr>
              <w:t>45.11</w:t>
            </w:r>
          </w:p>
        </w:tc>
        <w:tc>
          <w:tcPr>
            <w:tcW w:w="352" w:type="pct"/>
          </w:tcPr>
          <w:p w:rsidR="00A67CDE" w:rsidRPr="000B5DF7" w:rsidRDefault="00766279" w:rsidP="00A67CDE">
            <w:pPr>
              <w:jc w:val="center"/>
              <w:rPr>
                <w:szCs w:val="24"/>
              </w:rPr>
            </w:pPr>
            <w:r w:rsidRPr="007F55B5">
              <w:rPr>
                <w:rFonts w:cstheme="minorHAnsi"/>
                <w:color w:val="FF0000"/>
              </w:rPr>
              <w:t>↑</w:t>
            </w:r>
          </w:p>
        </w:tc>
      </w:tr>
      <w:tr w:rsidR="00A67CDE" w:rsidRPr="000B5DF7" w:rsidTr="00A67CDE">
        <w:tc>
          <w:tcPr>
            <w:tcW w:w="2033" w:type="pct"/>
          </w:tcPr>
          <w:p w:rsidR="00A67CDE" w:rsidRPr="000B5DF7" w:rsidRDefault="00A67CDE" w:rsidP="00A67CDE">
            <w:pPr>
              <w:rPr>
                <w:szCs w:val="24"/>
              </w:rPr>
            </w:pPr>
            <w:r w:rsidRPr="000B5DF7">
              <w:rPr>
                <w:szCs w:val="24"/>
              </w:rPr>
              <w:t>BAME+ v White British</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 xml:space="preserve">-121.15 </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 xml:space="preserve">-118.81 </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 xml:space="preserve">-4.06 </w:t>
            </w:r>
          </w:p>
        </w:tc>
        <w:tc>
          <w:tcPr>
            <w:tcW w:w="572"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63758D" w:rsidP="00A67CDE">
            <w:pPr>
              <w:tabs>
                <w:tab w:val="center" w:pos="407"/>
              </w:tabs>
              <w:jc w:val="center"/>
              <w:rPr>
                <w:rFonts w:cstheme="minorHAnsi"/>
                <w:szCs w:val="24"/>
              </w:rPr>
            </w:pPr>
            <w:r>
              <w:rPr>
                <w:rFonts w:cstheme="minorHAnsi"/>
                <w:szCs w:val="24"/>
              </w:rPr>
              <w:t>10.98</w:t>
            </w:r>
          </w:p>
        </w:tc>
        <w:tc>
          <w:tcPr>
            <w:tcW w:w="352" w:type="pct"/>
          </w:tcPr>
          <w:p w:rsidR="00A67CDE" w:rsidRPr="000B5DF7" w:rsidRDefault="0063758D" w:rsidP="00A67CDE">
            <w:pPr>
              <w:jc w:val="center"/>
              <w:rPr>
                <w:szCs w:val="24"/>
              </w:rPr>
            </w:pPr>
            <w:r w:rsidRPr="007F55B5">
              <w:rPr>
                <w:rFonts w:cstheme="minorHAnsi"/>
                <w:color w:val="FF0000"/>
              </w:rPr>
              <w:t>↑</w:t>
            </w:r>
          </w:p>
        </w:tc>
      </w:tr>
      <w:tr w:rsidR="00A67CDE" w:rsidRPr="000B5DF7" w:rsidTr="00A67CDE">
        <w:tc>
          <w:tcPr>
            <w:tcW w:w="2033" w:type="pct"/>
          </w:tcPr>
          <w:p w:rsidR="00A67CDE" w:rsidRPr="000B5DF7" w:rsidRDefault="00A67CDE" w:rsidP="00A67CDE">
            <w:pPr>
              <w:rPr>
                <w:szCs w:val="24"/>
              </w:rPr>
            </w:pPr>
            <w:r w:rsidRPr="000B5DF7">
              <w:rPr>
                <w:szCs w:val="24"/>
              </w:rPr>
              <w:t>P</w:t>
            </w:r>
            <w:r w:rsidR="008D3ED5">
              <w:rPr>
                <w:szCs w:val="24"/>
              </w:rPr>
              <w:t>O</w:t>
            </w:r>
            <w:r w:rsidRPr="000B5DF7">
              <w:rPr>
                <w:szCs w:val="24"/>
              </w:rPr>
              <w:t>C v White</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 xml:space="preserve">-123.60 </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 xml:space="preserve">-84.40 </w:t>
            </w:r>
          </w:p>
        </w:tc>
        <w:tc>
          <w:tcPr>
            <w:tcW w:w="681"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 xml:space="preserve">-11.38 </w:t>
            </w:r>
          </w:p>
        </w:tc>
        <w:tc>
          <w:tcPr>
            <w:tcW w:w="572" w:type="pct"/>
            <w:tcBorders>
              <w:top w:val="single" w:sz="8" w:space="0" w:color="auto"/>
              <w:left w:val="nil"/>
              <w:bottom w:val="single" w:sz="4" w:space="0" w:color="auto"/>
              <w:right w:val="single" w:sz="4" w:space="0" w:color="auto"/>
            </w:tcBorders>
            <w:shd w:val="clear" w:color="auto" w:fill="auto"/>
            <w:vAlign w:val="bottom"/>
          </w:tcPr>
          <w:p w:rsidR="00A67CDE" w:rsidRPr="000B5DF7" w:rsidRDefault="0063758D" w:rsidP="00A67CDE">
            <w:pPr>
              <w:jc w:val="center"/>
              <w:rPr>
                <w:rFonts w:cstheme="minorHAnsi"/>
                <w:color w:val="FF0000"/>
                <w:szCs w:val="24"/>
              </w:rPr>
            </w:pPr>
            <w:r w:rsidRPr="0063758D">
              <w:rPr>
                <w:rFonts w:cstheme="minorHAnsi"/>
                <w:szCs w:val="24"/>
              </w:rPr>
              <w:t>19.14</w:t>
            </w:r>
          </w:p>
        </w:tc>
        <w:tc>
          <w:tcPr>
            <w:tcW w:w="352" w:type="pct"/>
            <w:tcBorders>
              <w:bottom w:val="single" w:sz="4" w:space="0" w:color="auto"/>
            </w:tcBorders>
          </w:tcPr>
          <w:p w:rsidR="00A67CDE" w:rsidRPr="000B5DF7" w:rsidRDefault="0063758D" w:rsidP="00A67CDE">
            <w:pPr>
              <w:jc w:val="center"/>
              <w:rPr>
                <w:szCs w:val="24"/>
              </w:rPr>
            </w:pPr>
            <w:r w:rsidRPr="007F55B5">
              <w:rPr>
                <w:rFonts w:cstheme="minorHAnsi"/>
                <w:color w:val="FF0000"/>
              </w:rPr>
              <w:t>↑</w:t>
            </w:r>
          </w:p>
        </w:tc>
      </w:tr>
      <w:tr w:rsidR="00A67CDE" w:rsidRPr="000B5DF7" w:rsidTr="00A67CDE">
        <w:tc>
          <w:tcPr>
            <w:tcW w:w="2033" w:type="pct"/>
            <w:tcBorders>
              <w:bottom w:val="single" w:sz="4" w:space="0" w:color="auto"/>
            </w:tcBorders>
          </w:tcPr>
          <w:p w:rsidR="00A67CDE" w:rsidRPr="000B5DF7" w:rsidRDefault="00A67CDE" w:rsidP="00A67CDE">
            <w:pPr>
              <w:rPr>
                <w:szCs w:val="24"/>
              </w:rPr>
            </w:pPr>
            <w:r w:rsidRPr="000B5DF7">
              <w:rPr>
                <w:szCs w:val="24"/>
              </w:rPr>
              <w:t>Disabled v No Disability</w:t>
            </w:r>
          </w:p>
        </w:tc>
        <w:tc>
          <w:tcPr>
            <w:tcW w:w="681"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84.89 </w:t>
            </w:r>
          </w:p>
        </w:tc>
        <w:tc>
          <w:tcPr>
            <w:tcW w:w="681"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89.76 </w:t>
            </w:r>
          </w:p>
        </w:tc>
        <w:tc>
          <w:tcPr>
            <w:tcW w:w="681"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0.00 </w:t>
            </w:r>
          </w:p>
        </w:tc>
        <w:tc>
          <w:tcPr>
            <w:tcW w:w="572" w:type="pct"/>
            <w:tcBorders>
              <w:top w:val="single" w:sz="4" w:space="0" w:color="auto"/>
              <w:left w:val="nil"/>
              <w:bottom w:val="single" w:sz="4" w:space="0" w:color="auto"/>
              <w:right w:val="single" w:sz="4" w:space="0" w:color="auto"/>
            </w:tcBorders>
            <w:shd w:val="clear" w:color="auto" w:fill="auto"/>
            <w:vAlign w:val="bottom"/>
          </w:tcPr>
          <w:p w:rsidR="00A67CDE" w:rsidRPr="000B5DF7" w:rsidRDefault="0063758D" w:rsidP="00A67CDE">
            <w:pPr>
              <w:jc w:val="center"/>
              <w:rPr>
                <w:rFonts w:cstheme="minorHAnsi"/>
                <w:szCs w:val="24"/>
              </w:rPr>
            </w:pPr>
            <w:r>
              <w:rPr>
                <w:rFonts w:cstheme="minorHAnsi"/>
                <w:szCs w:val="24"/>
              </w:rPr>
              <w:t>0.00</w:t>
            </w:r>
          </w:p>
        </w:tc>
        <w:tc>
          <w:tcPr>
            <w:tcW w:w="352" w:type="pct"/>
            <w:tcBorders>
              <w:top w:val="single" w:sz="4" w:space="0" w:color="auto"/>
              <w:bottom w:val="single" w:sz="4" w:space="0" w:color="auto"/>
            </w:tcBorders>
          </w:tcPr>
          <w:p w:rsidR="00A67CDE" w:rsidRPr="000B5DF7" w:rsidRDefault="0063758D" w:rsidP="0063758D">
            <w:pPr>
              <w:jc w:val="center"/>
              <w:rPr>
                <w:szCs w:val="24"/>
              </w:rPr>
            </w:pPr>
            <w:r w:rsidRPr="000B5DF7">
              <w:rPr>
                <w:rFonts w:cstheme="minorHAnsi"/>
                <w:szCs w:val="24"/>
              </w:rPr>
              <w:t>↔</w:t>
            </w:r>
          </w:p>
        </w:tc>
      </w:tr>
      <w:tr w:rsidR="00A67CDE" w:rsidRPr="000B5DF7" w:rsidTr="0067664C">
        <w:tc>
          <w:tcPr>
            <w:tcW w:w="2033" w:type="pct"/>
            <w:tcBorders>
              <w:top w:val="single" w:sz="4" w:space="0" w:color="auto"/>
              <w:left w:val="single" w:sz="4" w:space="0" w:color="auto"/>
              <w:bottom w:val="single" w:sz="4" w:space="0" w:color="auto"/>
              <w:right w:val="single" w:sz="4" w:space="0" w:color="auto"/>
            </w:tcBorders>
          </w:tcPr>
          <w:p w:rsidR="00A67CDE" w:rsidRPr="000B5DF7" w:rsidRDefault="00A67CDE" w:rsidP="00A67CDE">
            <w:pPr>
              <w:rPr>
                <w:szCs w:val="24"/>
              </w:rPr>
            </w:pPr>
            <w:r w:rsidRPr="000B5DF7">
              <w:rPr>
                <w:szCs w:val="24"/>
              </w:rPr>
              <w:t>LGBO v Heterosexual</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80.33 </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38.79 </w:t>
            </w:r>
          </w:p>
        </w:tc>
        <w:tc>
          <w:tcPr>
            <w:tcW w:w="681" w:type="pct"/>
            <w:tcBorders>
              <w:top w:val="single" w:sz="4" w:space="0" w:color="auto"/>
              <w:left w:val="single" w:sz="4" w:space="0" w:color="auto"/>
              <w:bottom w:val="single" w:sz="4"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0.00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bottom"/>
          </w:tcPr>
          <w:p w:rsidR="00A67CDE" w:rsidRPr="000B5DF7" w:rsidRDefault="0063758D" w:rsidP="00A67CDE">
            <w:pPr>
              <w:jc w:val="center"/>
              <w:rPr>
                <w:rFonts w:cstheme="minorHAnsi"/>
                <w:szCs w:val="24"/>
              </w:rPr>
            </w:pPr>
            <w:r>
              <w:rPr>
                <w:rFonts w:cstheme="minorHAnsi"/>
                <w:szCs w:val="24"/>
              </w:rPr>
              <w:t>0.00</w:t>
            </w:r>
          </w:p>
        </w:tc>
        <w:tc>
          <w:tcPr>
            <w:tcW w:w="352" w:type="pct"/>
            <w:tcBorders>
              <w:top w:val="single" w:sz="4" w:space="0" w:color="auto"/>
              <w:left w:val="single" w:sz="4" w:space="0" w:color="auto"/>
              <w:bottom w:val="single" w:sz="4" w:space="0" w:color="auto"/>
              <w:right w:val="single" w:sz="4" w:space="0" w:color="auto"/>
            </w:tcBorders>
          </w:tcPr>
          <w:p w:rsidR="00A67CDE" w:rsidRPr="000B5DF7" w:rsidRDefault="0063758D" w:rsidP="00A67CDE">
            <w:pPr>
              <w:jc w:val="center"/>
              <w:rPr>
                <w:rFonts w:cstheme="minorHAnsi"/>
                <w:szCs w:val="24"/>
              </w:rPr>
            </w:pPr>
            <w:r w:rsidRPr="000B5DF7">
              <w:rPr>
                <w:rFonts w:cstheme="minorHAnsi"/>
                <w:szCs w:val="24"/>
              </w:rPr>
              <w:t>↔</w:t>
            </w:r>
          </w:p>
        </w:tc>
      </w:tr>
    </w:tbl>
    <w:p w:rsidR="0077488E" w:rsidRPr="0077488E" w:rsidRDefault="0077488E" w:rsidP="002B0327">
      <w:pPr>
        <w:pStyle w:val="Caption"/>
        <w:keepNext/>
        <w:spacing w:before="200"/>
        <w:rPr>
          <w:i w:val="0"/>
          <w:color w:val="auto"/>
        </w:rPr>
      </w:pPr>
      <w:bookmarkStart w:id="8" w:name="_Toc119569356"/>
      <w:r w:rsidRPr="0077488E">
        <w:rPr>
          <w:i w:val="0"/>
          <w:color w:val="auto"/>
        </w:rPr>
        <w:t>Table</w:t>
      </w:r>
      <w:r w:rsidR="005541EA">
        <w:rPr>
          <w:i w:val="0"/>
          <w:color w:val="auto"/>
        </w:rPr>
        <w:t xml:space="preserve"> 4</w:t>
      </w:r>
      <w:r w:rsidRPr="0077488E">
        <w:rPr>
          <w:i w:val="0"/>
          <w:color w:val="auto"/>
        </w:rPr>
        <w:t>: Median Bonus Pay Gaps Trend</w:t>
      </w:r>
      <w:bookmarkEnd w:id="8"/>
    </w:p>
    <w:tbl>
      <w:tblPr>
        <w:tblStyle w:val="TableGrid"/>
        <w:tblW w:w="5000" w:type="pct"/>
        <w:tblLook w:val="04A0" w:firstRow="1" w:lastRow="0" w:firstColumn="1" w:lastColumn="0" w:noHBand="0" w:noVBand="1"/>
      </w:tblPr>
      <w:tblGrid>
        <w:gridCol w:w="3666"/>
        <w:gridCol w:w="1228"/>
        <w:gridCol w:w="1228"/>
        <w:gridCol w:w="1228"/>
        <w:gridCol w:w="1031"/>
        <w:gridCol w:w="635"/>
      </w:tblGrid>
      <w:tr w:rsidR="00A67CDE" w:rsidRPr="000B5DF7" w:rsidTr="0077488E">
        <w:tc>
          <w:tcPr>
            <w:tcW w:w="2033" w:type="pct"/>
            <w:shd w:val="clear" w:color="auto" w:fill="8EAADB" w:themeFill="accent5" w:themeFillTint="99"/>
          </w:tcPr>
          <w:p w:rsidR="00A67CDE" w:rsidRPr="000B5DF7" w:rsidRDefault="00A67CDE" w:rsidP="00A67CDE">
            <w:pPr>
              <w:rPr>
                <w:b/>
                <w:szCs w:val="24"/>
              </w:rPr>
            </w:pPr>
          </w:p>
        </w:tc>
        <w:tc>
          <w:tcPr>
            <w:tcW w:w="681" w:type="pct"/>
            <w:shd w:val="clear" w:color="auto" w:fill="8EAADB" w:themeFill="accent5" w:themeFillTint="99"/>
          </w:tcPr>
          <w:p w:rsidR="00A67CDE" w:rsidRPr="000B5DF7" w:rsidRDefault="00A67CDE" w:rsidP="00A67CDE">
            <w:pPr>
              <w:jc w:val="center"/>
              <w:rPr>
                <w:b/>
                <w:szCs w:val="24"/>
              </w:rPr>
            </w:pPr>
            <w:r w:rsidRPr="000B5DF7">
              <w:rPr>
                <w:b/>
                <w:szCs w:val="24"/>
              </w:rPr>
              <w:t>2019</w:t>
            </w:r>
          </w:p>
        </w:tc>
        <w:tc>
          <w:tcPr>
            <w:tcW w:w="681" w:type="pct"/>
            <w:shd w:val="clear" w:color="auto" w:fill="8EAADB" w:themeFill="accent5" w:themeFillTint="99"/>
          </w:tcPr>
          <w:p w:rsidR="00A67CDE" w:rsidRPr="000B5DF7" w:rsidRDefault="00A67CDE" w:rsidP="00A67CDE">
            <w:pPr>
              <w:jc w:val="center"/>
              <w:rPr>
                <w:b/>
                <w:szCs w:val="24"/>
              </w:rPr>
            </w:pPr>
            <w:r w:rsidRPr="000B5DF7">
              <w:rPr>
                <w:b/>
                <w:szCs w:val="24"/>
              </w:rPr>
              <w:t>2020</w:t>
            </w:r>
          </w:p>
        </w:tc>
        <w:tc>
          <w:tcPr>
            <w:tcW w:w="681" w:type="pct"/>
            <w:shd w:val="clear" w:color="auto" w:fill="8EAADB" w:themeFill="accent5" w:themeFillTint="99"/>
          </w:tcPr>
          <w:p w:rsidR="00A67CDE" w:rsidRPr="000B5DF7" w:rsidRDefault="00A67CDE" w:rsidP="00A67CDE">
            <w:pPr>
              <w:jc w:val="center"/>
              <w:rPr>
                <w:b/>
                <w:szCs w:val="24"/>
              </w:rPr>
            </w:pPr>
            <w:r w:rsidRPr="000B5DF7">
              <w:rPr>
                <w:b/>
                <w:szCs w:val="24"/>
              </w:rPr>
              <w:t>2021</w:t>
            </w:r>
          </w:p>
        </w:tc>
        <w:tc>
          <w:tcPr>
            <w:tcW w:w="572" w:type="pct"/>
            <w:shd w:val="clear" w:color="auto" w:fill="8EAADB" w:themeFill="accent5" w:themeFillTint="99"/>
          </w:tcPr>
          <w:p w:rsidR="00A67CDE" w:rsidRPr="000B5DF7" w:rsidRDefault="00A67CDE" w:rsidP="00A67CDE">
            <w:pPr>
              <w:jc w:val="center"/>
              <w:rPr>
                <w:b/>
                <w:szCs w:val="24"/>
              </w:rPr>
            </w:pPr>
            <w:r w:rsidRPr="000B5DF7">
              <w:rPr>
                <w:b/>
                <w:szCs w:val="24"/>
              </w:rPr>
              <w:t>202</w:t>
            </w:r>
            <w:r>
              <w:rPr>
                <w:b/>
                <w:szCs w:val="24"/>
              </w:rPr>
              <w:t>2</w:t>
            </w:r>
          </w:p>
        </w:tc>
        <w:tc>
          <w:tcPr>
            <w:tcW w:w="352" w:type="pct"/>
            <w:shd w:val="clear" w:color="auto" w:fill="8EAADB" w:themeFill="accent5" w:themeFillTint="99"/>
          </w:tcPr>
          <w:p w:rsidR="00A67CDE" w:rsidRPr="000B5DF7" w:rsidRDefault="00A67CDE" w:rsidP="00A67CDE">
            <w:pPr>
              <w:jc w:val="center"/>
              <w:rPr>
                <w:szCs w:val="24"/>
              </w:rPr>
            </w:pPr>
          </w:p>
        </w:tc>
      </w:tr>
      <w:tr w:rsidR="00A67CDE" w:rsidRPr="000B5DF7" w:rsidTr="00A67CDE">
        <w:tc>
          <w:tcPr>
            <w:tcW w:w="2033" w:type="pct"/>
          </w:tcPr>
          <w:p w:rsidR="00A67CDE" w:rsidRPr="000B5DF7" w:rsidRDefault="00A67CDE" w:rsidP="00A67CDE">
            <w:pPr>
              <w:rPr>
                <w:szCs w:val="24"/>
              </w:rPr>
            </w:pPr>
            <w:r w:rsidRPr="000B5DF7">
              <w:rPr>
                <w:szCs w:val="24"/>
              </w:rPr>
              <w:t>Female v Male</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82.92 </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82.87 </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66.67 </w:t>
            </w:r>
          </w:p>
        </w:tc>
        <w:tc>
          <w:tcPr>
            <w:tcW w:w="572" w:type="pct"/>
            <w:tcBorders>
              <w:top w:val="single" w:sz="4" w:space="0" w:color="auto"/>
              <w:left w:val="nil"/>
              <w:bottom w:val="nil"/>
              <w:right w:val="single" w:sz="4" w:space="0" w:color="auto"/>
            </w:tcBorders>
            <w:shd w:val="clear" w:color="auto" w:fill="auto"/>
            <w:vAlign w:val="bottom"/>
          </w:tcPr>
          <w:p w:rsidR="00A67CDE" w:rsidRPr="000B5DF7" w:rsidRDefault="00766279" w:rsidP="00A67CDE">
            <w:pPr>
              <w:jc w:val="center"/>
              <w:rPr>
                <w:rFonts w:cstheme="minorHAnsi"/>
                <w:szCs w:val="24"/>
              </w:rPr>
            </w:pPr>
            <w:r>
              <w:rPr>
                <w:rFonts w:cstheme="minorHAnsi"/>
                <w:szCs w:val="24"/>
              </w:rPr>
              <w:t>75.00</w:t>
            </w:r>
          </w:p>
        </w:tc>
        <w:tc>
          <w:tcPr>
            <w:tcW w:w="352" w:type="pct"/>
          </w:tcPr>
          <w:p w:rsidR="00A67CDE" w:rsidRPr="000B5DF7" w:rsidRDefault="00766279" w:rsidP="00A67CDE">
            <w:pPr>
              <w:jc w:val="center"/>
              <w:rPr>
                <w:szCs w:val="24"/>
              </w:rPr>
            </w:pPr>
            <w:r w:rsidRPr="007F55B5">
              <w:rPr>
                <w:rFonts w:cstheme="minorHAnsi"/>
                <w:color w:val="FF0000"/>
              </w:rPr>
              <w:t>↑</w:t>
            </w:r>
          </w:p>
        </w:tc>
      </w:tr>
      <w:tr w:rsidR="00A67CDE" w:rsidRPr="000B5DF7" w:rsidTr="00A67CDE">
        <w:tc>
          <w:tcPr>
            <w:tcW w:w="2033" w:type="pct"/>
          </w:tcPr>
          <w:p w:rsidR="00A67CDE" w:rsidRPr="000B5DF7" w:rsidRDefault="00A67CDE" w:rsidP="00A67CDE">
            <w:pPr>
              <w:rPr>
                <w:szCs w:val="24"/>
              </w:rPr>
            </w:pPr>
            <w:r w:rsidRPr="000B5DF7">
              <w:rPr>
                <w:szCs w:val="24"/>
              </w:rPr>
              <w:t>BAME+ v White British</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 xml:space="preserve">-382.56 </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 xml:space="preserve">-704.27 </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000000"/>
                <w:szCs w:val="24"/>
              </w:rPr>
              <w:t xml:space="preserve">45.70 </w:t>
            </w:r>
          </w:p>
        </w:tc>
        <w:tc>
          <w:tcPr>
            <w:tcW w:w="572" w:type="pct"/>
            <w:tcBorders>
              <w:top w:val="single" w:sz="4" w:space="0" w:color="auto"/>
              <w:left w:val="nil"/>
              <w:bottom w:val="nil"/>
              <w:right w:val="single" w:sz="4" w:space="0" w:color="auto"/>
            </w:tcBorders>
            <w:shd w:val="clear" w:color="auto" w:fill="auto"/>
            <w:vAlign w:val="bottom"/>
          </w:tcPr>
          <w:p w:rsidR="00A67CDE" w:rsidRPr="000B5DF7" w:rsidRDefault="0063758D" w:rsidP="00A67CDE">
            <w:pPr>
              <w:tabs>
                <w:tab w:val="center" w:pos="407"/>
              </w:tabs>
              <w:jc w:val="center"/>
              <w:rPr>
                <w:rFonts w:cstheme="minorHAnsi"/>
                <w:szCs w:val="24"/>
              </w:rPr>
            </w:pPr>
            <w:r>
              <w:rPr>
                <w:rFonts w:cstheme="minorHAnsi"/>
                <w:szCs w:val="24"/>
              </w:rPr>
              <w:t>58.33</w:t>
            </w:r>
          </w:p>
        </w:tc>
        <w:tc>
          <w:tcPr>
            <w:tcW w:w="352" w:type="pct"/>
          </w:tcPr>
          <w:p w:rsidR="00A67CDE" w:rsidRPr="000B5DF7" w:rsidRDefault="0063758D" w:rsidP="00A67CDE">
            <w:pPr>
              <w:jc w:val="center"/>
              <w:rPr>
                <w:szCs w:val="24"/>
              </w:rPr>
            </w:pPr>
            <w:r w:rsidRPr="007F55B5">
              <w:rPr>
                <w:rFonts w:cstheme="minorHAnsi"/>
                <w:color w:val="FF0000"/>
              </w:rPr>
              <w:t>↑</w:t>
            </w:r>
          </w:p>
        </w:tc>
      </w:tr>
      <w:tr w:rsidR="00A67CDE" w:rsidRPr="000B5DF7" w:rsidTr="00A67CDE">
        <w:tc>
          <w:tcPr>
            <w:tcW w:w="2033" w:type="pct"/>
          </w:tcPr>
          <w:p w:rsidR="00A67CDE" w:rsidRPr="000B5DF7" w:rsidRDefault="00A67CDE" w:rsidP="00A67CDE">
            <w:pPr>
              <w:rPr>
                <w:szCs w:val="24"/>
              </w:rPr>
            </w:pPr>
            <w:r w:rsidRPr="000B5DF7">
              <w:rPr>
                <w:szCs w:val="24"/>
              </w:rPr>
              <w:t>P</w:t>
            </w:r>
            <w:r w:rsidR="008D3ED5">
              <w:rPr>
                <w:szCs w:val="24"/>
              </w:rPr>
              <w:t>O</w:t>
            </w:r>
            <w:r w:rsidRPr="000B5DF7">
              <w:rPr>
                <w:szCs w:val="24"/>
              </w:rPr>
              <w:t>C v White</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 xml:space="preserve">-503.20 </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FF0000"/>
                <w:szCs w:val="24"/>
              </w:rPr>
              <w:t xml:space="preserve">-503.21 </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color w:val="FF0000"/>
                <w:szCs w:val="24"/>
              </w:rPr>
            </w:pPr>
            <w:r w:rsidRPr="000B5DF7">
              <w:rPr>
                <w:rFonts w:ascii="Calibri" w:hAnsi="Calibri" w:cs="Calibri"/>
                <w:color w:val="000000"/>
                <w:szCs w:val="24"/>
              </w:rPr>
              <w:t xml:space="preserve">58.33 </w:t>
            </w:r>
          </w:p>
        </w:tc>
        <w:tc>
          <w:tcPr>
            <w:tcW w:w="572" w:type="pct"/>
            <w:tcBorders>
              <w:top w:val="single" w:sz="4" w:space="0" w:color="auto"/>
              <w:left w:val="nil"/>
              <w:bottom w:val="nil"/>
              <w:right w:val="single" w:sz="4" w:space="0" w:color="auto"/>
            </w:tcBorders>
            <w:shd w:val="clear" w:color="auto" w:fill="auto"/>
            <w:vAlign w:val="bottom"/>
          </w:tcPr>
          <w:p w:rsidR="00A67CDE" w:rsidRPr="000B5DF7" w:rsidRDefault="0063758D" w:rsidP="00A67CDE">
            <w:pPr>
              <w:jc w:val="center"/>
              <w:rPr>
                <w:rFonts w:cstheme="minorHAnsi"/>
                <w:color w:val="FF0000"/>
                <w:szCs w:val="24"/>
              </w:rPr>
            </w:pPr>
            <w:r w:rsidRPr="0063758D">
              <w:rPr>
                <w:rFonts w:cstheme="minorHAnsi"/>
                <w:szCs w:val="24"/>
              </w:rPr>
              <w:t>75.00</w:t>
            </w:r>
          </w:p>
        </w:tc>
        <w:tc>
          <w:tcPr>
            <w:tcW w:w="352" w:type="pct"/>
          </w:tcPr>
          <w:p w:rsidR="00A67CDE" w:rsidRPr="000B5DF7" w:rsidRDefault="00A67CDE" w:rsidP="00A67CDE">
            <w:pPr>
              <w:jc w:val="center"/>
              <w:rPr>
                <w:szCs w:val="24"/>
              </w:rPr>
            </w:pPr>
            <w:r w:rsidRPr="007F55B5">
              <w:rPr>
                <w:rFonts w:cstheme="minorHAnsi"/>
                <w:color w:val="FF0000"/>
                <w:szCs w:val="24"/>
              </w:rPr>
              <w:t>↑</w:t>
            </w:r>
          </w:p>
        </w:tc>
      </w:tr>
      <w:tr w:rsidR="00A67CDE" w:rsidRPr="000B5DF7" w:rsidTr="00A67CDE">
        <w:tc>
          <w:tcPr>
            <w:tcW w:w="2033" w:type="pct"/>
          </w:tcPr>
          <w:p w:rsidR="00A67CDE" w:rsidRPr="000B5DF7" w:rsidRDefault="00A67CDE" w:rsidP="00A67CDE">
            <w:pPr>
              <w:rPr>
                <w:szCs w:val="24"/>
              </w:rPr>
            </w:pPr>
            <w:r w:rsidRPr="000B5DF7">
              <w:rPr>
                <w:szCs w:val="24"/>
              </w:rPr>
              <w:t>Disabled v No Disability</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0.00 </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0.00 </w:t>
            </w:r>
          </w:p>
        </w:tc>
        <w:tc>
          <w:tcPr>
            <w:tcW w:w="681" w:type="pct"/>
            <w:tcBorders>
              <w:top w:val="single" w:sz="4" w:space="0" w:color="auto"/>
              <w:left w:val="nil"/>
              <w:bottom w:val="nil"/>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0.00 </w:t>
            </w:r>
          </w:p>
        </w:tc>
        <w:tc>
          <w:tcPr>
            <w:tcW w:w="572" w:type="pct"/>
            <w:tcBorders>
              <w:top w:val="single" w:sz="4" w:space="0" w:color="auto"/>
              <w:left w:val="nil"/>
              <w:bottom w:val="nil"/>
              <w:right w:val="single" w:sz="4" w:space="0" w:color="auto"/>
            </w:tcBorders>
            <w:shd w:val="clear" w:color="auto" w:fill="auto"/>
            <w:vAlign w:val="bottom"/>
          </w:tcPr>
          <w:p w:rsidR="00A67CDE" w:rsidRPr="000B5DF7" w:rsidRDefault="0063758D" w:rsidP="00A67CDE">
            <w:pPr>
              <w:jc w:val="center"/>
              <w:rPr>
                <w:rFonts w:cstheme="minorHAnsi"/>
                <w:szCs w:val="24"/>
              </w:rPr>
            </w:pPr>
            <w:r>
              <w:rPr>
                <w:rFonts w:cstheme="minorHAnsi"/>
                <w:szCs w:val="24"/>
              </w:rPr>
              <w:t>0.00</w:t>
            </w:r>
          </w:p>
        </w:tc>
        <w:tc>
          <w:tcPr>
            <w:tcW w:w="352" w:type="pct"/>
          </w:tcPr>
          <w:p w:rsidR="00A67CDE" w:rsidRPr="000B5DF7" w:rsidRDefault="00A67CDE" w:rsidP="00A67CDE">
            <w:pPr>
              <w:jc w:val="center"/>
              <w:rPr>
                <w:szCs w:val="24"/>
              </w:rPr>
            </w:pPr>
            <w:r w:rsidRPr="000B5DF7">
              <w:rPr>
                <w:rFonts w:cstheme="minorHAnsi"/>
                <w:szCs w:val="24"/>
              </w:rPr>
              <w:t>↔</w:t>
            </w:r>
          </w:p>
        </w:tc>
      </w:tr>
      <w:tr w:rsidR="00A67CDE" w:rsidRPr="000B5DF7" w:rsidTr="00A67CDE">
        <w:tc>
          <w:tcPr>
            <w:tcW w:w="2033" w:type="pct"/>
          </w:tcPr>
          <w:p w:rsidR="00A67CDE" w:rsidRPr="000B5DF7" w:rsidRDefault="00A67CDE" w:rsidP="00A67CDE">
            <w:pPr>
              <w:rPr>
                <w:szCs w:val="24"/>
              </w:rPr>
            </w:pPr>
            <w:r w:rsidRPr="000B5DF7">
              <w:rPr>
                <w:szCs w:val="24"/>
              </w:rPr>
              <w:t>LGBO v Heterosexual</w:t>
            </w:r>
          </w:p>
        </w:tc>
        <w:tc>
          <w:tcPr>
            <w:tcW w:w="681" w:type="pct"/>
            <w:tcBorders>
              <w:top w:val="single" w:sz="4" w:space="0" w:color="auto"/>
              <w:left w:val="nil"/>
              <w:bottom w:val="single" w:sz="8"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0.00 </w:t>
            </w:r>
          </w:p>
        </w:tc>
        <w:tc>
          <w:tcPr>
            <w:tcW w:w="681" w:type="pct"/>
            <w:tcBorders>
              <w:top w:val="single" w:sz="4" w:space="0" w:color="auto"/>
              <w:left w:val="nil"/>
              <w:bottom w:val="single" w:sz="8"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FF0000"/>
                <w:szCs w:val="24"/>
              </w:rPr>
              <w:t xml:space="preserve">-354.63 </w:t>
            </w:r>
          </w:p>
        </w:tc>
        <w:tc>
          <w:tcPr>
            <w:tcW w:w="681" w:type="pct"/>
            <w:tcBorders>
              <w:top w:val="single" w:sz="4" w:space="0" w:color="auto"/>
              <w:left w:val="nil"/>
              <w:bottom w:val="single" w:sz="8" w:space="0" w:color="auto"/>
              <w:right w:val="single" w:sz="4" w:space="0" w:color="auto"/>
            </w:tcBorders>
            <w:shd w:val="clear" w:color="auto" w:fill="auto"/>
            <w:vAlign w:val="bottom"/>
          </w:tcPr>
          <w:p w:rsidR="00A67CDE" w:rsidRPr="000B5DF7" w:rsidRDefault="00A67CDE" w:rsidP="00A67CDE">
            <w:pPr>
              <w:jc w:val="center"/>
              <w:rPr>
                <w:szCs w:val="24"/>
              </w:rPr>
            </w:pPr>
            <w:r w:rsidRPr="000B5DF7">
              <w:rPr>
                <w:rFonts w:ascii="Calibri" w:hAnsi="Calibri" w:cs="Calibri"/>
                <w:color w:val="000000"/>
                <w:szCs w:val="24"/>
              </w:rPr>
              <w:t xml:space="preserve">0.00 </w:t>
            </w:r>
          </w:p>
        </w:tc>
        <w:tc>
          <w:tcPr>
            <w:tcW w:w="572" w:type="pct"/>
            <w:tcBorders>
              <w:top w:val="single" w:sz="4" w:space="0" w:color="auto"/>
              <w:left w:val="nil"/>
              <w:bottom w:val="single" w:sz="8" w:space="0" w:color="auto"/>
              <w:right w:val="single" w:sz="4" w:space="0" w:color="auto"/>
            </w:tcBorders>
            <w:shd w:val="clear" w:color="auto" w:fill="auto"/>
            <w:vAlign w:val="bottom"/>
          </w:tcPr>
          <w:p w:rsidR="00A67CDE" w:rsidRPr="000B5DF7" w:rsidRDefault="0063758D" w:rsidP="00A67CDE">
            <w:pPr>
              <w:jc w:val="center"/>
              <w:rPr>
                <w:rFonts w:cstheme="minorHAnsi"/>
                <w:szCs w:val="24"/>
              </w:rPr>
            </w:pPr>
            <w:r>
              <w:rPr>
                <w:rFonts w:cstheme="minorHAnsi"/>
                <w:szCs w:val="24"/>
              </w:rPr>
              <w:t>0.00</w:t>
            </w:r>
          </w:p>
        </w:tc>
        <w:tc>
          <w:tcPr>
            <w:tcW w:w="352" w:type="pct"/>
          </w:tcPr>
          <w:p w:rsidR="00A67CDE" w:rsidRPr="000B5DF7" w:rsidRDefault="0063758D" w:rsidP="00A67CDE">
            <w:pPr>
              <w:jc w:val="center"/>
              <w:rPr>
                <w:rFonts w:cstheme="minorHAnsi"/>
                <w:szCs w:val="24"/>
              </w:rPr>
            </w:pPr>
            <w:r w:rsidRPr="000B5DF7">
              <w:rPr>
                <w:rFonts w:cstheme="minorHAnsi"/>
                <w:szCs w:val="24"/>
              </w:rPr>
              <w:t>↔</w:t>
            </w:r>
          </w:p>
        </w:tc>
      </w:tr>
    </w:tbl>
    <w:p w:rsidR="002B0327" w:rsidRDefault="002B0327"/>
    <w:p w:rsidR="00980646" w:rsidRDefault="00747866">
      <w:pPr>
        <w:rPr>
          <w:b/>
        </w:rPr>
      </w:pPr>
      <w:r>
        <w:rPr>
          <w:b/>
        </w:rPr>
        <w:t xml:space="preserve">2.2 - </w:t>
      </w:r>
      <w:r w:rsidR="00C23EDB" w:rsidRPr="00725FDB">
        <w:rPr>
          <w:b/>
          <w:u w:val="single"/>
        </w:rPr>
        <w:t>A SUMMARY OF THE MAIN CAUSES OF THE PAY GAPS ARE</w:t>
      </w:r>
      <w:r w:rsidR="00C23EDB" w:rsidRPr="00C23EDB">
        <w:rPr>
          <w:b/>
        </w:rPr>
        <w:t>:</w:t>
      </w:r>
    </w:p>
    <w:p w:rsidR="00AC7373" w:rsidRPr="00E207BB" w:rsidRDefault="00AC7373" w:rsidP="00AC7373">
      <w:pPr>
        <w:rPr>
          <w:strike/>
          <w:color w:val="FF0000"/>
        </w:rPr>
      </w:pPr>
      <w:r w:rsidRPr="0093318D">
        <w:t xml:space="preserve">In March 2022 there were 7811 employees within the sample population compared to 7737 in 2021 (a 1% increase). Of these 7811, 809 (10.4%) were excluded from the population for the mean and median pay gap calculations for </w:t>
      </w:r>
      <w:r>
        <w:t>not meeting the definition of</w:t>
      </w:r>
      <w:r w:rsidRPr="0093318D">
        <w:t xml:space="preserve"> full pay relevant employee</w:t>
      </w:r>
      <w:r>
        <w:t xml:space="preserve"> (FPRE)</w:t>
      </w:r>
      <w:r w:rsidRPr="0093318D">
        <w:t xml:space="preserve">. </w:t>
      </w:r>
      <w:bookmarkStart w:id="9" w:name="_GoBack"/>
      <w:bookmarkEnd w:id="9"/>
    </w:p>
    <w:p w:rsidR="0067664C" w:rsidRDefault="00980646" w:rsidP="00AC7373">
      <w:pPr>
        <w:pStyle w:val="ListParagraph"/>
        <w:numPr>
          <w:ilvl w:val="0"/>
          <w:numId w:val="26"/>
        </w:numPr>
        <w:ind w:left="0"/>
      </w:pPr>
      <w:r w:rsidRPr="00980646">
        <w:rPr>
          <w:b/>
        </w:rPr>
        <w:t>Gender Pay Gap:</w:t>
      </w:r>
      <w:r>
        <w:t xml:space="preserve"> </w:t>
      </w:r>
      <w:r w:rsidR="0067664C">
        <w:t>The main causes of the gender pay gap is the higher proportion of women compared to men who occupy</w:t>
      </w:r>
      <w:r>
        <w:t xml:space="preserve"> lower pay grades, and the higher proportion of women who occupy manual and clerical roles. The main cause of the bonus pay gap is the </w:t>
      </w:r>
      <w:r w:rsidR="0049468E">
        <w:t>larger</w:t>
      </w:r>
      <w:r>
        <w:t xml:space="preserve"> proportion of men who receive the Clinical Excellence Award</w:t>
      </w:r>
      <w:r w:rsidR="000B5DF7">
        <w:t xml:space="preserve"> (CEA)</w:t>
      </w:r>
      <w:r>
        <w:t xml:space="preserve"> and that a </w:t>
      </w:r>
      <w:r w:rsidR="0049468E">
        <w:t>larger</w:t>
      </w:r>
      <w:r>
        <w:t xml:space="preserve"> proportion of</w:t>
      </w:r>
      <w:r w:rsidR="0049468E">
        <w:t xml:space="preserve"> male CEA recipients received </w:t>
      </w:r>
      <w:r w:rsidR="000B5DF7">
        <w:t>a</w:t>
      </w:r>
      <w:r>
        <w:t xml:space="preserve"> higher value award</w:t>
      </w:r>
      <w:r w:rsidR="0049468E">
        <w:t xml:space="preserve"> than women</w:t>
      </w:r>
      <w:r>
        <w:t>.</w:t>
      </w:r>
    </w:p>
    <w:p w:rsidR="00980646" w:rsidRDefault="00980646" w:rsidP="00AC7373">
      <w:pPr>
        <w:pStyle w:val="ListParagraph"/>
        <w:ind w:left="0"/>
      </w:pPr>
    </w:p>
    <w:p w:rsidR="00AD3633" w:rsidRPr="00AD706A" w:rsidRDefault="00980646" w:rsidP="00AC7373">
      <w:pPr>
        <w:pStyle w:val="ListParagraph"/>
        <w:numPr>
          <w:ilvl w:val="0"/>
          <w:numId w:val="26"/>
        </w:numPr>
        <w:ind w:left="0"/>
      </w:pPr>
      <w:r w:rsidRPr="00AD706A">
        <w:rPr>
          <w:b/>
        </w:rPr>
        <w:t>BAME+ Pay Gap:</w:t>
      </w:r>
      <w:r w:rsidRPr="00AD706A">
        <w:t xml:space="preserve"> The main cause of the BAME+ pay gap is the higher proportion of the BAME+ population which occupy research and academic roles compared to the White British population. Research and academic roles are on the higher pay bands meaning that the average income of BAME+ population is higher. </w:t>
      </w:r>
      <w:r w:rsidR="00AD3633" w:rsidRPr="00AD706A">
        <w:t>The Bonus Pay Gap i</w:t>
      </w:r>
      <w:r w:rsidR="001F0B3B">
        <w:t>s</w:t>
      </w:r>
      <w:r w:rsidR="00AD3633" w:rsidRPr="00AD706A">
        <w:t xml:space="preserve"> i</w:t>
      </w:r>
      <w:r w:rsidR="001F0B3B">
        <w:t>n</w:t>
      </w:r>
      <w:r w:rsidR="00AD3633" w:rsidRPr="00AD706A">
        <w:t xml:space="preserve"> favour of White British because of the relatively small population size of Clinical Excellence Awards being significantly affected by small changes in the BAME+/White British cohort size </w:t>
      </w:r>
      <w:r w:rsidR="001A6C97">
        <w:t xml:space="preserve">(55 in 2021 to 49 in 2022) </w:t>
      </w:r>
      <w:r w:rsidR="00AD3633" w:rsidRPr="00AD706A">
        <w:t xml:space="preserve">and </w:t>
      </w:r>
      <w:r w:rsidR="001A6C97">
        <w:t xml:space="preserve">individual </w:t>
      </w:r>
      <w:r w:rsidR="00AD3633" w:rsidRPr="00AD706A">
        <w:t>bonus values.</w:t>
      </w:r>
    </w:p>
    <w:p w:rsidR="00AD3633" w:rsidRPr="00AD3633" w:rsidRDefault="00AD3633" w:rsidP="00AC7373">
      <w:pPr>
        <w:pStyle w:val="ListParagraph"/>
        <w:ind w:left="0"/>
        <w:rPr>
          <w:color w:val="FF0000"/>
        </w:rPr>
      </w:pPr>
    </w:p>
    <w:p w:rsidR="00AD3633" w:rsidRDefault="00423164" w:rsidP="00AC7373">
      <w:pPr>
        <w:pStyle w:val="ListParagraph"/>
        <w:numPr>
          <w:ilvl w:val="0"/>
          <w:numId w:val="26"/>
        </w:numPr>
        <w:ind w:left="0"/>
      </w:pPr>
      <w:r w:rsidRPr="00AD3633">
        <w:rPr>
          <w:b/>
        </w:rPr>
        <w:t>People of Colour Pay Gap</w:t>
      </w:r>
      <w:r w:rsidRPr="00AD3633">
        <w:t xml:space="preserve">: </w:t>
      </w:r>
      <w:r w:rsidR="00AD3633">
        <w:t xml:space="preserve">There is an effective </w:t>
      </w:r>
      <w:r w:rsidR="001F0B3B">
        <w:t>M</w:t>
      </w:r>
      <w:r w:rsidR="00AD3633">
        <w:t xml:space="preserve">edian pay gap of 0%. </w:t>
      </w:r>
      <w:r w:rsidRPr="00AD3633">
        <w:t xml:space="preserve">The </w:t>
      </w:r>
      <w:r w:rsidR="00AD3633">
        <w:t xml:space="preserve">cause of the </w:t>
      </w:r>
      <w:r w:rsidRPr="00AD3633">
        <w:t xml:space="preserve">Mean </w:t>
      </w:r>
      <w:r w:rsidR="006E4D8D" w:rsidRPr="00AD3633">
        <w:t>pay gap</w:t>
      </w:r>
      <w:r w:rsidR="006E4D8D">
        <w:t xml:space="preserve"> </w:t>
      </w:r>
      <w:r w:rsidR="00AD3633">
        <w:t xml:space="preserve">is the lower number of POC on higher pay grades and the relatively high proportion of POC cohort who are student staff occupying casual and zero hour roles which has the effect of lowering the average and median income points relevant to White. </w:t>
      </w:r>
      <w:r w:rsidR="00AD3633" w:rsidRPr="00AD3633">
        <w:t>The Bonus Pay Gap i</w:t>
      </w:r>
      <w:r w:rsidR="006E4D8D">
        <w:t>s</w:t>
      </w:r>
      <w:r w:rsidR="00AD3633" w:rsidRPr="00AD3633">
        <w:t xml:space="preserve"> i</w:t>
      </w:r>
      <w:r w:rsidR="006E4D8D">
        <w:t>n</w:t>
      </w:r>
      <w:r w:rsidR="00AD3633" w:rsidRPr="00AD3633">
        <w:t xml:space="preserve"> favour of White because of the relatively small population size of Clinical </w:t>
      </w:r>
      <w:r w:rsidR="00AD3633" w:rsidRPr="00AD3633">
        <w:lastRenderedPageBreak/>
        <w:t xml:space="preserve">Excellence Awards being significantly affected by small changes in the </w:t>
      </w:r>
      <w:r w:rsidR="00AD3633">
        <w:t>POC</w:t>
      </w:r>
      <w:r w:rsidR="00AD3633" w:rsidRPr="00AD3633">
        <w:t xml:space="preserve">/White cohort size </w:t>
      </w:r>
      <w:r w:rsidR="001A6C97">
        <w:t xml:space="preserve">(55 in 2021 to 49 in 2022) </w:t>
      </w:r>
      <w:r w:rsidR="00AD3633" w:rsidRPr="00AD3633">
        <w:t xml:space="preserve">and </w:t>
      </w:r>
      <w:r w:rsidR="001A6C97">
        <w:t>individuals</w:t>
      </w:r>
      <w:r w:rsidR="00AA49FF">
        <w:t>’</w:t>
      </w:r>
      <w:r w:rsidR="001A6C97">
        <w:t xml:space="preserve"> </w:t>
      </w:r>
      <w:r w:rsidR="00AD3633" w:rsidRPr="00AD3633">
        <w:t>bonus values.</w:t>
      </w:r>
    </w:p>
    <w:p w:rsidR="00AD3633" w:rsidRDefault="00AD3633" w:rsidP="00AD3633">
      <w:pPr>
        <w:pStyle w:val="ListParagraph"/>
      </w:pPr>
    </w:p>
    <w:p w:rsidR="008D2AFF" w:rsidRDefault="008D2AFF" w:rsidP="00AC7373">
      <w:pPr>
        <w:pStyle w:val="ListParagraph"/>
        <w:numPr>
          <w:ilvl w:val="0"/>
          <w:numId w:val="26"/>
        </w:numPr>
        <w:ind w:left="0"/>
      </w:pPr>
      <w:r w:rsidRPr="008D2AFF">
        <w:rPr>
          <w:b/>
        </w:rPr>
        <w:t>Disability Pay Gap</w:t>
      </w:r>
      <w:r>
        <w:t xml:space="preserve">: The </w:t>
      </w:r>
      <w:r w:rsidR="00AD3633">
        <w:t>d</w:t>
      </w:r>
      <w:r>
        <w:t xml:space="preserve">isability </w:t>
      </w:r>
      <w:r w:rsidR="00AD3633">
        <w:t>p</w:t>
      </w:r>
      <w:r>
        <w:t xml:space="preserve">ay </w:t>
      </w:r>
      <w:r w:rsidR="00AD3633">
        <w:t>g</w:t>
      </w:r>
      <w:r>
        <w:t xml:space="preserve">ap </w:t>
      </w:r>
      <w:r w:rsidR="00AD3633">
        <w:t xml:space="preserve">is mainly caused by the higher proportion of known disabled FPRE </w:t>
      </w:r>
      <w:r w:rsidR="00EE1298">
        <w:t>in lower pay grade compared to the no known disability FPRE cohort. This is further affected by the relatively small number of disabled FPRE (406</w:t>
      </w:r>
      <w:r w:rsidR="00082AA0">
        <w:t xml:space="preserve"> v 6</w:t>
      </w:r>
      <w:r w:rsidR="00EE1298">
        <w:t>566</w:t>
      </w:r>
      <w:r w:rsidR="00082AA0">
        <w:t xml:space="preserve">) </w:t>
      </w:r>
      <w:r w:rsidR="00EE1298">
        <w:t>where the population size, and changes in the number and location of disabled FPRE has a greater effect on the mean/median hourly pay rate compared to No Known Disability</w:t>
      </w:r>
      <w:r w:rsidR="00AD706A">
        <w:t xml:space="preserve"> FPRE</w:t>
      </w:r>
      <w:r w:rsidR="00EE1298">
        <w:t>.</w:t>
      </w:r>
      <w:r w:rsidR="00082AA0">
        <w:t xml:space="preserve"> </w:t>
      </w:r>
      <w:r w:rsidR="00EE1298">
        <w:t>No disabled employees received a bonus.</w:t>
      </w:r>
    </w:p>
    <w:p w:rsidR="00082AA0" w:rsidRDefault="00082AA0" w:rsidP="00AC7373">
      <w:pPr>
        <w:pStyle w:val="ListParagraph"/>
        <w:ind w:left="0"/>
      </w:pPr>
    </w:p>
    <w:p w:rsidR="00082AA0" w:rsidRDefault="00082AA0" w:rsidP="00AC7373">
      <w:pPr>
        <w:pStyle w:val="ListParagraph"/>
        <w:numPr>
          <w:ilvl w:val="0"/>
          <w:numId w:val="26"/>
        </w:numPr>
        <w:ind w:left="0"/>
      </w:pPr>
      <w:r w:rsidRPr="00082AA0">
        <w:rPr>
          <w:b/>
        </w:rPr>
        <w:t>Sexuality Pay Gaps</w:t>
      </w:r>
      <w:r>
        <w:t xml:space="preserve">: 32% of the Full Pay Relevant Population </w:t>
      </w:r>
      <w:r w:rsidR="00E3073B">
        <w:t xml:space="preserve">have </w:t>
      </w:r>
      <w:r>
        <w:t xml:space="preserve">not disclosed their sexual orientation </w:t>
      </w:r>
      <w:r w:rsidR="00321DF7">
        <w:t xml:space="preserve">to the University, therefore the data should be interpreted with caution. </w:t>
      </w:r>
      <w:r>
        <w:t xml:space="preserve">However, of those that have disclosed, the causes of the sexuality pay gap in favour of </w:t>
      </w:r>
      <w:r w:rsidR="00277A48">
        <w:t>H</w:t>
      </w:r>
      <w:r>
        <w:t xml:space="preserve">eterosexual employees is that a slightly higher proportion of LGBO staff occupy lower pay grades. </w:t>
      </w:r>
      <w:r w:rsidR="00AD706A" w:rsidRPr="00AD706A">
        <w:t xml:space="preserve">This is further affected by the relatively small number of </w:t>
      </w:r>
      <w:r w:rsidR="00AD706A">
        <w:t>LGBO</w:t>
      </w:r>
      <w:r w:rsidR="00AD706A" w:rsidRPr="00AD706A">
        <w:t xml:space="preserve"> FPRE (</w:t>
      </w:r>
      <w:r w:rsidR="00AD706A">
        <w:t>338</w:t>
      </w:r>
      <w:r w:rsidR="00AD706A" w:rsidRPr="00AD706A">
        <w:t xml:space="preserve"> v </w:t>
      </w:r>
      <w:r w:rsidR="00AD706A">
        <w:t>4448</w:t>
      </w:r>
      <w:r w:rsidR="00AD706A" w:rsidRPr="00AD706A">
        <w:t xml:space="preserve">) where the population size, and changes in the number and location of </w:t>
      </w:r>
      <w:r w:rsidR="00AD706A">
        <w:t>LGBO</w:t>
      </w:r>
      <w:r w:rsidR="00AD706A" w:rsidRPr="00AD706A">
        <w:t xml:space="preserve"> FPRE has a greater effect on the mean/median hourly pay rate compared to </w:t>
      </w:r>
      <w:r w:rsidR="00AD706A">
        <w:t>Heterosexual FPRE</w:t>
      </w:r>
      <w:r w:rsidR="00AD706A" w:rsidRPr="00AD706A">
        <w:t xml:space="preserve">. </w:t>
      </w:r>
      <w:r w:rsidR="00EE1298" w:rsidRPr="00EE1298">
        <w:t xml:space="preserve">No </w:t>
      </w:r>
      <w:r w:rsidR="00EE1298">
        <w:t>LGBO</w:t>
      </w:r>
      <w:r w:rsidR="00EE1298" w:rsidRPr="00EE1298">
        <w:t xml:space="preserve"> employees received a bonus.</w:t>
      </w:r>
    </w:p>
    <w:p w:rsidR="00A55CA4" w:rsidRDefault="00A55CA4" w:rsidP="00AC7373">
      <w:pPr>
        <w:pStyle w:val="NoSpacing"/>
      </w:pPr>
    </w:p>
    <w:p w:rsidR="002050BE" w:rsidRPr="00AC7373" w:rsidRDefault="002050BE" w:rsidP="000758AB">
      <w:pPr>
        <w:rPr>
          <w:b/>
        </w:rPr>
      </w:pPr>
      <w:r w:rsidRPr="00AC7373">
        <w:rPr>
          <w:b/>
        </w:rPr>
        <w:t xml:space="preserve">Ongoing </w:t>
      </w:r>
      <w:r w:rsidR="00376F44">
        <w:rPr>
          <w:b/>
        </w:rPr>
        <w:t>I</w:t>
      </w:r>
      <w:r w:rsidRPr="00AC7373">
        <w:rPr>
          <w:b/>
        </w:rPr>
        <w:t xml:space="preserve">mpact of the </w:t>
      </w:r>
      <w:r w:rsidR="00376F44">
        <w:rPr>
          <w:b/>
        </w:rPr>
        <w:t>P</w:t>
      </w:r>
      <w:r w:rsidRPr="00AC7373">
        <w:rPr>
          <w:b/>
        </w:rPr>
        <w:t>andemic</w:t>
      </w:r>
      <w:r>
        <w:rPr>
          <w:b/>
        </w:rPr>
        <w:t>:</w:t>
      </w:r>
    </w:p>
    <w:p w:rsidR="000758AB" w:rsidRPr="00C50FC6" w:rsidRDefault="000758AB" w:rsidP="000758AB">
      <w:r>
        <w:t>It should be noted that COVID-19 has continued to impact on the way in which the University operate</w:t>
      </w:r>
      <w:r w:rsidR="00FA1EFD">
        <w:t>d</w:t>
      </w:r>
      <w:r>
        <w:t xml:space="preserve"> up to March 2022, for example through the government guidance in late 2021/early </w:t>
      </w:r>
      <w:r w:rsidRPr="00C50FC6">
        <w:t xml:space="preserve">2022 that staff who were able to should continue to work from home.  </w:t>
      </w:r>
      <w:r w:rsidR="00FA1EFD" w:rsidRPr="00C50FC6">
        <w:t xml:space="preserve">In particular, the interplay of various activities may have </w:t>
      </w:r>
      <w:r w:rsidRPr="00C50FC6">
        <w:t xml:space="preserve">impacted on the Statutory Pay Gap calculations </w:t>
      </w:r>
      <w:r w:rsidR="00FA1EFD" w:rsidRPr="00C50FC6">
        <w:t>when reviewing and comparing the 2022 statutory pay gap</w:t>
      </w:r>
      <w:r w:rsidR="002050BE" w:rsidRPr="00C50FC6">
        <w:t xml:space="preserve">. </w:t>
      </w:r>
      <w:r w:rsidR="00FA1EFD" w:rsidRPr="00C50FC6">
        <w:t>Specifically</w:t>
      </w:r>
      <w:r w:rsidR="00376F44">
        <w:t>:</w:t>
      </w:r>
    </w:p>
    <w:p w:rsidR="000758AB" w:rsidRPr="00C50FC6" w:rsidRDefault="002050BE" w:rsidP="00C50FC6">
      <w:pPr>
        <w:pStyle w:val="ListParagraph"/>
        <w:numPr>
          <w:ilvl w:val="0"/>
          <w:numId w:val="15"/>
        </w:numPr>
        <w:ind w:left="426"/>
      </w:pPr>
      <w:r w:rsidRPr="00C50FC6">
        <w:t>A significant proportion</w:t>
      </w:r>
      <w:r w:rsidR="000758AB" w:rsidRPr="00C50FC6">
        <w:t xml:space="preserve"> of teaching remained online/hybrid resulting in a reduction in casual/zero-hour student demonstrators.</w:t>
      </w:r>
    </w:p>
    <w:p w:rsidR="000758AB" w:rsidRDefault="000758AB" w:rsidP="00C50FC6">
      <w:pPr>
        <w:pStyle w:val="ListParagraph"/>
        <w:numPr>
          <w:ilvl w:val="0"/>
          <w:numId w:val="15"/>
        </w:numPr>
        <w:ind w:left="426"/>
      </w:pPr>
      <w:r>
        <w:t>Key events and onsite activities which may have previously required additional casual / zero-hour workers, or overtime, remained relatively low compared to pre-pandemic levels as these activities either did not take place or remained online.</w:t>
      </w:r>
    </w:p>
    <w:p w:rsidR="000758AB" w:rsidRDefault="000758AB" w:rsidP="00C50FC6">
      <w:pPr>
        <w:pStyle w:val="ListParagraph"/>
        <w:numPr>
          <w:ilvl w:val="0"/>
          <w:numId w:val="15"/>
        </w:numPr>
        <w:ind w:left="426"/>
      </w:pPr>
      <w:r>
        <w:t>Annual Review (Academic Promotion) and the Exceptional Performance Award (EPA) system was reintroduced for the 2021-2022 academic year, however the outcome of this process took place later than in previous years meaning that the promotions are not reflected in the population data, and the Exceptional Performance Awards (EPA) had not been paid by March 2022.</w:t>
      </w:r>
    </w:p>
    <w:p w:rsidR="00A55CA4" w:rsidRDefault="00A55CA4" w:rsidP="00C50FC6">
      <w:r>
        <w:t>Overall there was a 1% increase of the eligible Staff Post population size between 2021 and 2022 with the population level being 2.6% lower than March 2020 at the onset of the pandemic. There was 0.8% reduction of the Full Pay Relevant Employee population (FPRE), and a 13.6% increase in the size of the omitted staff for not being full pay relevant in March 2022.</w:t>
      </w:r>
    </w:p>
    <w:p w:rsidR="00C50FC6" w:rsidRDefault="00C50FC6" w:rsidP="00AC7373">
      <w:pPr>
        <w:ind w:left="360"/>
      </w:pPr>
    </w:p>
    <w:p w:rsidR="00A55CA4" w:rsidRPr="00B72929" w:rsidRDefault="00A55CA4" w:rsidP="00C50FC6">
      <w:pPr>
        <w:pStyle w:val="Caption"/>
        <w:keepNext/>
        <w:spacing w:before="200"/>
        <w:rPr>
          <w:i w:val="0"/>
          <w:color w:val="auto"/>
        </w:rPr>
      </w:pPr>
      <w:r w:rsidRPr="00B72929">
        <w:rPr>
          <w:i w:val="0"/>
          <w:color w:val="auto"/>
        </w:rPr>
        <w:lastRenderedPageBreak/>
        <w:t xml:space="preserve">Table </w:t>
      </w:r>
      <w:r w:rsidR="005541EA">
        <w:rPr>
          <w:i w:val="0"/>
          <w:color w:val="auto"/>
        </w:rPr>
        <w:t>5</w:t>
      </w:r>
      <w:r w:rsidRPr="00B72929">
        <w:rPr>
          <w:i w:val="0"/>
          <w:color w:val="auto"/>
        </w:rPr>
        <w:t>: Pay Gap Population Trend</w:t>
      </w:r>
    </w:p>
    <w:tbl>
      <w:tblPr>
        <w:tblStyle w:val="TableGrid"/>
        <w:tblW w:w="5000" w:type="pct"/>
        <w:tblLook w:val="04A0" w:firstRow="1" w:lastRow="0" w:firstColumn="1" w:lastColumn="0" w:noHBand="0" w:noVBand="1"/>
      </w:tblPr>
      <w:tblGrid>
        <w:gridCol w:w="2828"/>
        <w:gridCol w:w="1032"/>
        <w:gridCol w:w="1032"/>
        <w:gridCol w:w="1031"/>
        <w:gridCol w:w="1031"/>
        <w:gridCol w:w="1031"/>
        <w:gridCol w:w="1031"/>
      </w:tblGrid>
      <w:tr w:rsidR="00A55CA4" w:rsidRPr="001B5F5D" w:rsidTr="000E7210">
        <w:tc>
          <w:tcPr>
            <w:tcW w:w="1568" w:type="pct"/>
            <w:shd w:val="clear" w:color="auto" w:fill="D9D9D9" w:themeFill="background1" w:themeFillShade="D9"/>
          </w:tcPr>
          <w:p w:rsidR="00A55CA4" w:rsidRPr="001B5F5D" w:rsidRDefault="00A55CA4" w:rsidP="000E7210">
            <w:pPr>
              <w:jc w:val="center"/>
              <w:rPr>
                <w:b/>
              </w:rPr>
            </w:pPr>
          </w:p>
        </w:tc>
        <w:tc>
          <w:tcPr>
            <w:tcW w:w="572" w:type="pct"/>
            <w:shd w:val="clear" w:color="auto" w:fill="D9D9D9" w:themeFill="background1" w:themeFillShade="D9"/>
          </w:tcPr>
          <w:p w:rsidR="00A55CA4" w:rsidRDefault="00A55CA4" w:rsidP="000E7210">
            <w:pPr>
              <w:jc w:val="center"/>
              <w:rPr>
                <w:b/>
              </w:rPr>
            </w:pPr>
            <w:r>
              <w:rPr>
                <w:b/>
              </w:rPr>
              <w:t>2018</w:t>
            </w:r>
          </w:p>
        </w:tc>
        <w:tc>
          <w:tcPr>
            <w:tcW w:w="572" w:type="pct"/>
            <w:shd w:val="clear" w:color="auto" w:fill="D9D9D9" w:themeFill="background1" w:themeFillShade="D9"/>
          </w:tcPr>
          <w:p w:rsidR="00A55CA4" w:rsidRPr="001B5F5D" w:rsidRDefault="00A55CA4" w:rsidP="000E7210">
            <w:pPr>
              <w:jc w:val="center"/>
              <w:rPr>
                <w:b/>
              </w:rPr>
            </w:pPr>
            <w:r>
              <w:rPr>
                <w:b/>
              </w:rPr>
              <w:t>2019</w:t>
            </w:r>
          </w:p>
        </w:tc>
        <w:tc>
          <w:tcPr>
            <w:tcW w:w="572" w:type="pct"/>
            <w:shd w:val="clear" w:color="auto" w:fill="D9D9D9" w:themeFill="background1" w:themeFillShade="D9"/>
          </w:tcPr>
          <w:p w:rsidR="00A55CA4" w:rsidRPr="001B5F5D" w:rsidRDefault="00A55CA4" w:rsidP="000E7210">
            <w:pPr>
              <w:jc w:val="center"/>
              <w:rPr>
                <w:b/>
              </w:rPr>
            </w:pPr>
            <w:r w:rsidRPr="001B5F5D">
              <w:rPr>
                <w:b/>
              </w:rPr>
              <w:t>2020</w:t>
            </w:r>
          </w:p>
        </w:tc>
        <w:tc>
          <w:tcPr>
            <w:tcW w:w="572" w:type="pct"/>
            <w:shd w:val="clear" w:color="auto" w:fill="D9D9D9" w:themeFill="background1" w:themeFillShade="D9"/>
          </w:tcPr>
          <w:p w:rsidR="00A55CA4" w:rsidRPr="001B5F5D" w:rsidRDefault="00A55CA4" w:rsidP="000E7210">
            <w:pPr>
              <w:jc w:val="center"/>
              <w:rPr>
                <w:b/>
              </w:rPr>
            </w:pPr>
            <w:r w:rsidRPr="001B5F5D">
              <w:rPr>
                <w:b/>
              </w:rPr>
              <w:t>2021</w:t>
            </w:r>
          </w:p>
        </w:tc>
        <w:tc>
          <w:tcPr>
            <w:tcW w:w="572" w:type="pct"/>
            <w:shd w:val="clear" w:color="auto" w:fill="D9D9D9" w:themeFill="background1" w:themeFillShade="D9"/>
          </w:tcPr>
          <w:p w:rsidR="00A55CA4" w:rsidRPr="001B5F5D" w:rsidRDefault="00A55CA4" w:rsidP="000E7210">
            <w:pPr>
              <w:jc w:val="center"/>
              <w:rPr>
                <w:b/>
              </w:rPr>
            </w:pPr>
            <w:r w:rsidRPr="001B5F5D">
              <w:rPr>
                <w:b/>
              </w:rPr>
              <w:t>202</w:t>
            </w:r>
            <w:r>
              <w:rPr>
                <w:b/>
              </w:rPr>
              <w:t>2</w:t>
            </w:r>
          </w:p>
        </w:tc>
        <w:tc>
          <w:tcPr>
            <w:tcW w:w="572" w:type="pct"/>
            <w:shd w:val="clear" w:color="auto" w:fill="D9D9D9" w:themeFill="background1" w:themeFillShade="D9"/>
          </w:tcPr>
          <w:p w:rsidR="00A55CA4" w:rsidRDefault="00A55CA4" w:rsidP="000E7210">
            <w:pPr>
              <w:jc w:val="center"/>
              <w:rPr>
                <w:b/>
              </w:rPr>
            </w:pPr>
            <w:r w:rsidRPr="001B5F5D">
              <w:rPr>
                <w:b/>
              </w:rPr>
              <w:t>Change</w:t>
            </w:r>
          </w:p>
          <w:p w:rsidR="00A55CA4" w:rsidRPr="001B5F5D" w:rsidRDefault="00A55CA4" w:rsidP="000E7210">
            <w:pPr>
              <w:jc w:val="center"/>
              <w:rPr>
                <w:b/>
              </w:rPr>
            </w:pPr>
            <w:r>
              <w:rPr>
                <w:b/>
              </w:rPr>
              <w:t>20 to 21</w:t>
            </w:r>
          </w:p>
        </w:tc>
      </w:tr>
      <w:tr w:rsidR="00A55CA4" w:rsidTr="000E7210">
        <w:tc>
          <w:tcPr>
            <w:tcW w:w="1568" w:type="pct"/>
          </w:tcPr>
          <w:p w:rsidR="00A55CA4" w:rsidRDefault="00A55CA4" w:rsidP="000E7210">
            <w:r>
              <w:t>Total # Job Posts</w:t>
            </w:r>
          </w:p>
        </w:tc>
        <w:tc>
          <w:tcPr>
            <w:tcW w:w="572" w:type="pct"/>
          </w:tcPr>
          <w:p w:rsidR="00A55CA4" w:rsidRDefault="00A55CA4" w:rsidP="000E7210">
            <w:pPr>
              <w:jc w:val="center"/>
            </w:pPr>
            <w:r>
              <w:t>7359</w:t>
            </w:r>
          </w:p>
        </w:tc>
        <w:tc>
          <w:tcPr>
            <w:tcW w:w="572" w:type="pct"/>
          </w:tcPr>
          <w:p w:rsidR="00A55CA4" w:rsidRDefault="00A55CA4" w:rsidP="000E7210">
            <w:pPr>
              <w:jc w:val="center"/>
            </w:pPr>
            <w:r>
              <w:t>8173</w:t>
            </w:r>
          </w:p>
        </w:tc>
        <w:tc>
          <w:tcPr>
            <w:tcW w:w="572" w:type="pct"/>
          </w:tcPr>
          <w:p w:rsidR="00A55CA4" w:rsidRDefault="00A55CA4" w:rsidP="000E7210">
            <w:pPr>
              <w:jc w:val="center"/>
            </w:pPr>
            <w:r>
              <w:t>8020</w:t>
            </w:r>
          </w:p>
        </w:tc>
        <w:tc>
          <w:tcPr>
            <w:tcW w:w="572" w:type="pct"/>
          </w:tcPr>
          <w:p w:rsidR="00A55CA4" w:rsidRDefault="00A55CA4" w:rsidP="000E7210">
            <w:pPr>
              <w:jc w:val="center"/>
            </w:pPr>
            <w:r>
              <w:t>7737</w:t>
            </w:r>
          </w:p>
        </w:tc>
        <w:tc>
          <w:tcPr>
            <w:tcW w:w="572" w:type="pct"/>
          </w:tcPr>
          <w:p w:rsidR="00A55CA4" w:rsidRDefault="00A55CA4" w:rsidP="000E7210">
            <w:pPr>
              <w:jc w:val="center"/>
            </w:pPr>
            <w:r>
              <w:t>7811</w:t>
            </w:r>
          </w:p>
        </w:tc>
        <w:tc>
          <w:tcPr>
            <w:tcW w:w="572" w:type="pct"/>
          </w:tcPr>
          <w:p w:rsidR="00A55CA4" w:rsidRDefault="00A55CA4" w:rsidP="000E7210">
            <w:pPr>
              <w:jc w:val="center"/>
            </w:pPr>
            <w:r>
              <w:t>+1%</w:t>
            </w:r>
          </w:p>
        </w:tc>
      </w:tr>
      <w:tr w:rsidR="00A55CA4" w:rsidTr="000E7210">
        <w:tc>
          <w:tcPr>
            <w:tcW w:w="1568" w:type="pct"/>
          </w:tcPr>
          <w:p w:rsidR="00A55CA4" w:rsidRDefault="00A55CA4" w:rsidP="000E7210">
            <w:r>
              <w:t>Full Pay Relevant</w:t>
            </w:r>
          </w:p>
        </w:tc>
        <w:tc>
          <w:tcPr>
            <w:tcW w:w="572" w:type="pct"/>
          </w:tcPr>
          <w:p w:rsidR="00A55CA4" w:rsidRDefault="00A55CA4" w:rsidP="000E7210">
            <w:pPr>
              <w:jc w:val="center"/>
            </w:pPr>
            <w:r>
              <w:t>7197</w:t>
            </w:r>
          </w:p>
        </w:tc>
        <w:tc>
          <w:tcPr>
            <w:tcW w:w="572" w:type="pct"/>
          </w:tcPr>
          <w:p w:rsidR="00A55CA4" w:rsidRDefault="00A55CA4" w:rsidP="000E7210">
            <w:pPr>
              <w:jc w:val="center"/>
            </w:pPr>
            <w:r>
              <w:t>7509</w:t>
            </w:r>
          </w:p>
        </w:tc>
        <w:tc>
          <w:tcPr>
            <w:tcW w:w="572" w:type="pct"/>
          </w:tcPr>
          <w:p w:rsidR="00A55CA4" w:rsidRDefault="00A55CA4" w:rsidP="000E7210">
            <w:pPr>
              <w:jc w:val="center"/>
            </w:pPr>
            <w:r>
              <w:t>7318</w:t>
            </w:r>
          </w:p>
        </w:tc>
        <w:tc>
          <w:tcPr>
            <w:tcW w:w="572" w:type="pct"/>
          </w:tcPr>
          <w:p w:rsidR="00A55CA4" w:rsidRDefault="00A55CA4" w:rsidP="000E7210">
            <w:pPr>
              <w:jc w:val="center"/>
            </w:pPr>
            <w:r>
              <w:t>7025</w:t>
            </w:r>
          </w:p>
        </w:tc>
        <w:tc>
          <w:tcPr>
            <w:tcW w:w="572" w:type="pct"/>
          </w:tcPr>
          <w:p w:rsidR="00A55CA4" w:rsidRDefault="00A55CA4" w:rsidP="000E7210">
            <w:pPr>
              <w:jc w:val="center"/>
            </w:pPr>
            <w:r>
              <w:t>6972</w:t>
            </w:r>
          </w:p>
        </w:tc>
        <w:tc>
          <w:tcPr>
            <w:tcW w:w="572" w:type="pct"/>
          </w:tcPr>
          <w:p w:rsidR="00A55CA4" w:rsidRDefault="00A55CA4" w:rsidP="000E7210">
            <w:pPr>
              <w:jc w:val="center"/>
            </w:pPr>
            <w:r>
              <w:t>-0.8%</w:t>
            </w:r>
          </w:p>
        </w:tc>
      </w:tr>
      <w:tr w:rsidR="00A55CA4" w:rsidTr="000E7210">
        <w:tc>
          <w:tcPr>
            <w:tcW w:w="1568" w:type="pct"/>
          </w:tcPr>
          <w:p w:rsidR="00A55CA4" w:rsidRDefault="00A55CA4" w:rsidP="000E7210">
            <w:r>
              <w:t>Not Full Pay Relevant</w:t>
            </w:r>
          </w:p>
        </w:tc>
        <w:tc>
          <w:tcPr>
            <w:tcW w:w="572" w:type="pct"/>
          </w:tcPr>
          <w:p w:rsidR="00A55CA4" w:rsidRDefault="00A55CA4" w:rsidP="000E7210">
            <w:pPr>
              <w:jc w:val="center"/>
            </w:pPr>
            <w:r>
              <w:t>162</w:t>
            </w:r>
          </w:p>
        </w:tc>
        <w:tc>
          <w:tcPr>
            <w:tcW w:w="572" w:type="pct"/>
          </w:tcPr>
          <w:p w:rsidR="00A55CA4" w:rsidRDefault="00A55CA4" w:rsidP="000E7210">
            <w:pPr>
              <w:jc w:val="center"/>
            </w:pPr>
            <w:r>
              <w:t>664</w:t>
            </w:r>
          </w:p>
        </w:tc>
        <w:tc>
          <w:tcPr>
            <w:tcW w:w="572" w:type="pct"/>
          </w:tcPr>
          <w:p w:rsidR="00A55CA4" w:rsidRDefault="00A55CA4" w:rsidP="000E7210">
            <w:pPr>
              <w:jc w:val="center"/>
            </w:pPr>
            <w:r>
              <w:t>702</w:t>
            </w:r>
          </w:p>
        </w:tc>
        <w:tc>
          <w:tcPr>
            <w:tcW w:w="572" w:type="pct"/>
          </w:tcPr>
          <w:p w:rsidR="00A55CA4" w:rsidRDefault="00A55CA4" w:rsidP="000E7210">
            <w:pPr>
              <w:jc w:val="center"/>
            </w:pPr>
            <w:r>
              <w:t>712</w:t>
            </w:r>
          </w:p>
        </w:tc>
        <w:tc>
          <w:tcPr>
            <w:tcW w:w="572" w:type="pct"/>
          </w:tcPr>
          <w:p w:rsidR="00A55CA4" w:rsidRDefault="00A55CA4" w:rsidP="000E7210">
            <w:pPr>
              <w:jc w:val="center"/>
            </w:pPr>
            <w:r>
              <w:t>809</w:t>
            </w:r>
          </w:p>
        </w:tc>
        <w:tc>
          <w:tcPr>
            <w:tcW w:w="572" w:type="pct"/>
            <w:tcBorders>
              <w:bottom w:val="single" w:sz="4" w:space="0" w:color="auto"/>
            </w:tcBorders>
          </w:tcPr>
          <w:p w:rsidR="00A55CA4" w:rsidRDefault="00A55CA4" w:rsidP="000E7210">
            <w:pPr>
              <w:jc w:val="center"/>
            </w:pPr>
            <w:r>
              <w:t>+13.6%</w:t>
            </w:r>
          </w:p>
        </w:tc>
      </w:tr>
      <w:tr w:rsidR="00A55CA4" w:rsidTr="000E7210">
        <w:tc>
          <w:tcPr>
            <w:tcW w:w="1568" w:type="pct"/>
          </w:tcPr>
          <w:p w:rsidR="00A55CA4" w:rsidRDefault="00A55CA4" w:rsidP="000E7210">
            <w:r>
              <w:t>% Not Full Pay Relevant</w:t>
            </w:r>
          </w:p>
        </w:tc>
        <w:tc>
          <w:tcPr>
            <w:tcW w:w="572" w:type="pct"/>
          </w:tcPr>
          <w:p w:rsidR="00A55CA4" w:rsidRDefault="00A55CA4" w:rsidP="000E7210">
            <w:pPr>
              <w:jc w:val="center"/>
            </w:pPr>
            <w:r>
              <w:t>2.2%</w:t>
            </w:r>
          </w:p>
        </w:tc>
        <w:tc>
          <w:tcPr>
            <w:tcW w:w="572" w:type="pct"/>
          </w:tcPr>
          <w:p w:rsidR="00A55CA4" w:rsidRDefault="00A55CA4" w:rsidP="000E7210">
            <w:pPr>
              <w:jc w:val="center"/>
            </w:pPr>
            <w:r>
              <w:t>8.1%</w:t>
            </w:r>
          </w:p>
        </w:tc>
        <w:tc>
          <w:tcPr>
            <w:tcW w:w="572" w:type="pct"/>
          </w:tcPr>
          <w:p w:rsidR="00A55CA4" w:rsidRDefault="00A55CA4" w:rsidP="000E7210">
            <w:pPr>
              <w:jc w:val="center"/>
            </w:pPr>
            <w:r>
              <w:t>8.8%</w:t>
            </w:r>
          </w:p>
        </w:tc>
        <w:tc>
          <w:tcPr>
            <w:tcW w:w="572" w:type="pct"/>
          </w:tcPr>
          <w:p w:rsidR="00A55CA4" w:rsidRDefault="00A55CA4" w:rsidP="000E7210">
            <w:pPr>
              <w:jc w:val="center"/>
            </w:pPr>
            <w:r>
              <w:t>9.2%</w:t>
            </w:r>
          </w:p>
        </w:tc>
        <w:tc>
          <w:tcPr>
            <w:tcW w:w="572" w:type="pct"/>
          </w:tcPr>
          <w:p w:rsidR="00A55CA4" w:rsidRDefault="00A55CA4" w:rsidP="000E7210">
            <w:pPr>
              <w:jc w:val="center"/>
            </w:pPr>
            <w:r>
              <w:t>10.4%</w:t>
            </w:r>
          </w:p>
        </w:tc>
        <w:tc>
          <w:tcPr>
            <w:tcW w:w="572" w:type="pct"/>
            <w:tcBorders>
              <w:bottom w:val="nil"/>
              <w:right w:val="nil"/>
            </w:tcBorders>
          </w:tcPr>
          <w:p w:rsidR="00A55CA4" w:rsidRDefault="00A55CA4" w:rsidP="000E7210">
            <w:pPr>
              <w:jc w:val="center"/>
            </w:pPr>
          </w:p>
        </w:tc>
      </w:tr>
    </w:tbl>
    <w:p w:rsidR="006B68C1" w:rsidRDefault="006B68C1">
      <w:pPr>
        <w:rPr>
          <w:rFonts w:ascii="Calibri" w:eastAsiaTheme="majorEastAsia" w:hAnsi="Calibri" w:cstheme="majorBidi"/>
          <w:b/>
          <w:color w:val="000000" w:themeColor="text1"/>
          <w:sz w:val="32"/>
          <w:szCs w:val="32"/>
        </w:rPr>
      </w:pPr>
    </w:p>
    <w:p w:rsidR="005130FC" w:rsidRDefault="00371815" w:rsidP="00D1110D">
      <w:pPr>
        <w:pStyle w:val="Heading1"/>
        <w:numPr>
          <w:ilvl w:val="0"/>
          <w:numId w:val="6"/>
        </w:numPr>
        <w:shd w:val="clear" w:color="auto" w:fill="D9E2F3" w:themeFill="accent5" w:themeFillTint="33"/>
      </w:pPr>
      <w:bookmarkStart w:id="10" w:name="_Toc21338938"/>
      <w:bookmarkStart w:id="11" w:name="_Toc125731581"/>
      <w:bookmarkEnd w:id="2"/>
      <w:r w:rsidRPr="005130FC">
        <w:t xml:space="preserve">Statutory </w:t>
      </w:r>
      <w:r w:rsidR="00D06CB4">
        <w:t xml:space="preserve">Gender </w:t>
      </w:r>
      <w:r w:rsidRPr="005130FC">
        <w:t>Pay Gap</w:t>
      </w:r>
      <w:bookmarkEnd w:id="10"/>
      <w:bookmarkEnd w:id="11"/>
    </w:p>
    <w:p w:rsidR="00370FBA" w:rsidRDefault="00D47182" w:rsidP="008D455D">
      <w:r>
        <w:t xml:space="preserve">In this section we report the Statutory Gender Pay Gap. </w:t>
      </w:r>
      <w:r w:rsidR="00371815">
        <w:t xml:space="preserve">A </w:t>
      </w:r>
      <w:r w:rsidR="00D366C0" w:rsidRPr="008D455D">
        <w:t xml:space="preserve">positive </w:t>
      </w:r>
      <w:r w:rsidR="00D366C0" w:rsidRPr="008D455D">
        <w:rPr>
          <w:b/>
        </w:rPr>
        <w:t>black</w:t>
      </w:r>
      <w:r w:rsidR="00D366C0">
        <w:rPr>
          <w:b/>
        </w:rPr>
        <w:t xml:space="preserve"> </w:t>
      </w:r>
      <w:r w:rsidR="00D366C0" w:rsidRPr="00D366C0">
        <w:t>number</w:t>
      </w:r>
      <w:r w:rsidR="00D366C0">
        <w:t xml:space="preserve"> </w:t>
      </w:r>
      <w:r w:rsidR="00D366C0" w:rsidRPr="008D455D">
        <w:t>means that there is a pay gap in favour of men, where</w:t>
      </w:r>
      <w:r w:rsidR="00DC2D91">
        <w:t>as</w:t>
      </w:r>
      <w:r w:rsidR="00D366C0" w:rsidRPr="008D455D">
        <w:t xml:space="preserve"> a negative </w:t>
      </w:r>
      <w:r w:rsidR="00D366C0" w:rsidRPr="008D455D">
        <w:rPr>
          <w:b/>
          <w:color w:val="FF0000"/>
        </w:rPr>
        <w:t>red</w:t>
      </w:r>
      <w:r w:rsidR="00D366C0">
        <w:rPr>
          <w:b/>
          <w:color w:val="FF0000"/>
        </w:rPr>
        <w:t xml:space="preserve"> </w:t>
      </w:r>
      <w:r w:rsidR="00D366C0" w:rsidRPr="00D366C0">
        <w:t xml:space="preserve">number </w:t>
      </w:r>
      <w:r w:rsidR="00D366C0" w:rsidRPr="008D455D">
        <w:t>means that there is a pay gap in favour of women.</w:t>
      </w:r>
      <w:r w:rsidR="00851F6E">
        <w:t xml:space="preserve"> </w:t>
      </w:r>
      <w:r w:rsidR="00370FBA">
        <w:t xml:space="preserve">As mentioned previously, a </w:t>
      </w:r>
      <w:r w:rsidR="00370FBA" w:rsidRPr="00370FBA">
        <w:rPr>
          <w:b/>
          <w:color w:val="00B050"/>
        </w:rPr>
        <w:t>green</w:t>
      </w:r>
      <w:r w:rsidR="00370FBA" w:rsidRPr="00370FBA">
        <w:rPr>
          <w:color w:val="00B050"/>
        </w:rPr>
        <w:t xml:space="preserve"> </w:t>
      </w:r>
      <w:r w:rsidR="00370FBA" w:rsidRPr="001E17C7">
        <w:t xml:space="preserve">arrow </w:t>
      </w:r>
      <w:r w:rsidR="00370FBA">
        <w:t xml:space="preserve">indicates a positive change to reduce the pay gap, a </w:t>
      </w:r>
      <w:r w:rsidR="00370FBA" w:rsidRPr="00370FBA">
        <w:rPr>
          <w:b/>
          <w:color w:val="FF0000"/>
        </w:rPr>
        <w:t>red</w:t>
      </w:r>
      <w:r w:rsidR="00370FBA" w:rsidRPr="00370FBA">
        <w:rPr>
          <w:color w:val="FF0000"/>
        </w:rPr>
        <w:t xml:space="preserve"> </w:t>
      </w:r>
      <w:r w:rsidR="00370FBA">
        <w:t xml:space="preserve">arrow indicates a negative change, and a </w:t>
      </w:r>
      <w:r w:rsidR="00370FBA" w:rsidRPr="00370FBA">
        <w:rPr>
          <w:b/>
        </w:rPr>
        <w:t>black</w:t>
      </w:r>
      <w:r w:rsidR="00370FBA">
        <w:t xml:space="preserve"> arrow indicates a change that is not deemed to be positive or negative.</w:t>
      </w:r>
    </w:p>
    <w:p w:rsidR="008D455D" w:rsidRPr="001B5D7B" w:rsidRDefault="001B5D7B" w:rsidP="00B672BC">
      <w:r w:rsidRPr="001B5D7B">
        <w:t>6972</w:t>
      </w:r>
      <w:r w:rsidR="008D455D" w:rsidRPr="001B5D7B">
        <w:t xml:space="preserve"> (</w:t>
      </w:r>
      <w:r w:rsidR="00BC4F7A" w:rsidRPr="001B5D7B">
        <w:t xml:space="preserve">down </w:t>
      </w:r>
      <w:r w:rsidR="008D455D" w:rsidRPr="001B5D7B">
        <w:t xml:space="preserve">from </w:t>
      </w:r>
      <w:r w:rsidR="002E3649" w:rsidRPr="001B5D7B">
        <w:t>7025</w:t>
      </w:r>
      <w:r w:rsidR="008D455D" w:rsidRPr="001B5D7B">
        <w:t>) Full Pay Relevant Employees are included in the Statutory Gender Pa</w:t>
      </w:r>
      <w:r w:rsidR="004E4A07" w:rsidRPr="001B5D7B">
        <w:t xml:space="preserve">y Gap calculation, of which </w:t>
      </w:r>
      <w:r w:rsidRPr="001B5D7B">
        <w:t>3913</w:t>
      </w:r>
      <w:r w:rsidR="00BC4F7A" w:rsidRPr="001B5D7B">
        <w:t xml:space="preserve"> </w:t>
      </w:r>
      <w:r w:rsidR="004E4A07" w:rsidRPr="001B5D7B">
        <w:t>(</w:t>
      </w:r>
      <w:r w:rsidRPr="001B5D7B">
        <w:t>56.1</w:t>
      </w:r>
      <w:r w:rsidR="00BC4F7A" w:rsidRPr="001B5D7B">
        <w:t>%</w:t>
      </w:r>
      <w:r w:rsidR="008D455D" w:rsidRPr="001B5D7B">
        <w:t>) are femal</w:t>
      </w:r>
      <w:r w:rsidR="004E4A07" w:rsidRPr="001B5D7B">
        <w:t xml:space="preserve">e, and </w:t>
      </w:r>
      <w:r w:rsidRPr="001B5D7B">
        <w:t>3059</w:t>
      </w:r>
      <w:r w:rsidR="004E4A07" w:rsidRPr="001B5D7B">
        <w:t xml:space="preserve"> (</w:t>
      </w:r>
      <w:r w:rsidRPr="001B5D7B">
        <w:t>43.9</w:t>
      </w:r>
      <w:r w:rsidR="00BC4F7A" w:rsidRPr="001B5D7B">
        <w:t xml:space="preserve">%) </w:t>
      </w:r>
      <w:r w:rsidR="008D455D" w:rsidRPr="001B5D7B">
        <w:t xml:space="preserve">are male. </w:t>
      </w:r>
    </w:p>
    <w:p w:rsidR="008D455D" w:rsidRPr="001B5D7B" w:rsidRDefault="00962EFF" w:rsidP="002B0327">
      <w:pPr>
        <w:pStyle w:val="Caption"/>
        <w:spacing w:before="200"/>
        <w:rPr>
          <w:i w:val="0"/>
          <w:color w:val="auto"/>
        </w:rPr>
      </w:pPr>
      <w:bookmarkStart w:id="12" w:name="_Toc119569358"/>
      <w:r w:rsidRPr="001B5D7B">
        <w:rPr>
          <w:i w:val="0"/>
          <w:color w:val="auto"/>
        </w:rPr>
        <w:t xml:space="preserve">Table </w:t>
      </w:r>
      <w:r w:rsidR="005541EA">
        <w:rPr>
          <w:i w:val="0"/>
          <w:color w:val="auto"/>
        </w:rPr>
        <w:t>6</w:t>
      </w:r>
      <w:r w:rsidRPr="001B5D7B">
        <w:rPr>
          <w:i w:val="0"/>
          <w:color w:val="auto"/>
        </w:rPr>
        <w:t xml:space="preserve">: Statutory Gender Pay Gap </w:t>
      </w:r>
      <w:r w:rsidR="005536A3" w:rsidRPr="001B5D7B">
        <w:rPr>
          <w:i w:val="0"/>
          <w:color w:val="auto"/>
        </w:rPr>
        <w:t>D</w:t>
      </w:r>
      <w:r w:rsidRPr="001B5D7B">
        <w:rPr>
          <w:i w:val="0"/>
          <w:color w:val="auto"/>
        </w:rPr>
        <w:t>ata</w:t>
      </w:r>
      <w:bookmarkEnd w:id="12"/>
    </w:p>
    <w:tbl>
      <w:tblPr>
        <w:tblStyle w:val="TableGrid"/>
        <w:tblW w:w="5000" w:type="pct"/>
        <w:tblLook w:val="04A0" w:firstRow="1" w:lastRow="0" w:firstColumn="1" w:lastColumn="0" w:noHBand="0" w:noVBand="1"/>
        <w:tblCaption w:val="Statutory Gender Pay Gap Data"/>
        <w:tblDescription w:val="2017 to 2020"/>
      </w:tblPr>
      <w:tblGrid>
        <w:gridCol w:w="5407"/>
        <w:gridCol w:w="1015"/>
        <w:gridCol w:w="1015"/>
        <w:gridCol w:w="1015"/>
        <w:gridCol w:w="574"/>
      </w:tblGrid>
      <w:tr w:rsidR="002E3649" w:rsidRPr="00BC4F7A" w:rsidTr="002E3649">
        <w:trPr>
          <w:tblHeader/>
        </w:trPr>
        <w:tc>
          <w:tcPr>
            <w:tcW w:w="2995" w:type="pct"/>
            <w:tcBorders>
              <w:top w:val="nil"/>
              <w:left w:val="nil"/>
            </w:tcBorders>
            <w:shd w:val="clear" w:color="auto" w:fill="auto"/>
          </w:tcPr>
          <w:p w:rsidR="002E3649" w:rsidRPr="00BC4F7A" w:rsidRDefault="002E3649" w:rsidP="002E3649">
            <w:pPr>
              <w:rPr>
                <w:b/>
                <w:szCs w:val="24"/>
              </w:rPr>
            </w:pPr>
          </w:p>
        </w:tc>
        <w:tc>
          <w:tcPr>
            <w:tcW w:w="562" w:type="pct"/>
            <w:tcBorders>
              <w:left w:val="single" w:sz="4" w:space="0" w:color="auto"/>
            </w:tcBorders>
            <w:shd w:val="clear" w:color="auto" w:fill="D9D9D9" w:themeFill="background1" w:themeFillShade="D9"/>
          </w:tcPr>
          <w:p w:rsidR="002E3649" w:rsidRPr="00BC4F7A" w:rsidRDefault="002E3649" w:rsidP="002E3649">
            <w:pPr>
              <w:jc w:val="center"/>
              <w:rPr>
                <w:b/>
                <w:szCs w:val="24"/>
              </w:rPr>
            </w:pPr>
            <w:r w:rsidRPr="00BC4F7A">
              <w:rPr>
                <w:b/>
                <w:szCs w:val="24"/>
              </w:rPr>
              <w:t>2020</w:t>
            </w:r>
          </w:p>
        </w:tc>
        <w:tc>
          <w:tcPr>
            <w:tcW w:w="562" w:type="pct"/>
            <w:shd w:val="clear" w:color="auto" w:fill="D9D9D9" w:themeFill="background1" w:themeFillShade="D9"/>
          </w:tcPr>
          <w:p w:rsidR="002E3649" w:rsidRPr="00BC4F7A" w:rsidRDefault="002E3649" w:rsidP="002E3649">
            <w:pPr>
              <w:jc w:val="center"/>
              <w:rPr>
                <w:b/>
                <w:szCs w:val="24"/>
              </w:rPr>
            </w:pPr>
            <w:r>
              <w:rPr>
                <w:b/>
                <w:szCs w:val="24"/>
              </w:rPr>
              <w:t>2021</w:t>
            </w:r>
          </w:p>
        </w:tc>
        <w:tc>
          <w:tcPr>
            <w:tcW w:w="562" w:type="pct"/>
            <w:shd w:val="clear" w:color="auto" w:fill="D9D9D9" w:themeFill="background1" w:themeFillShade="D9"/>
          </w:tcPr>
          <w:p w:rsidR="002E3649" w:rsidRPr="00BC4F7A" w:rsidRDefault="002E3649" w:rsidP="002E3649">
            <w:pPr>
              <w:jc w:val="center"/>
              <w:rPr>
                <w:b/>
                <w:szCs w:val="24"/>
              </w:rPr>
            </w:pPr>
            <w:r>
              <w:rPr>
                <w:b/>
                <w:szCs w:val="24"/>
              </w:rPr>
              <w:t>2022</w:t>
            </w:r>
          </w:p>
        </w:tc>
        <w:tc>
          <w:tcPr>
            <w:tcW w:w="318" w:type="pct"/>
            <w:tcBorders>
              <w:top w:val="nil"/>
              <w:right w:val="nil"/>
            </w:tcBorders>
            <w:shd w:val="clear" w:color="auto" w:fill="auto"/>
          </w:tcPr>
          <w:p w:rsidR="002E3649" w:rsidRPr="00BC4F7A" w:rsidRDefault="002E3649" w:rsidP="002E3649">
            <w:pPr>
              <w:jc w:val="center"/>
              <w:rPr>
                <w:b/>
                <w:szCs w:val="24"/>
              </w:rPr>
            </w:pPr>
          </w:p>
        </w:tc>
      </w:tr>
      <w:tr w:rsidR="002E3649" w:rsidRPr="00BC4F7A" w:rsidTr="002E3649">
        <w:tc>
          <w:tcPr>
            <w:tcW w:w="2995" w:type="pct"/>
            <w:shd w:val="clear" w:color="auto" w:fill="auto"/>
          </w:tcPr>
          <w:p w:rsidR="002E3649" w:rsidRPr="00BC4F7A" w:rsidRDefault="002E3649" w:rsidP="002E3649">
            <w:pPr>
              <w:rPr>
                <w:szCs w:val="24"/>
              </w:rPr>
            </w:pPr>
            <w:r w:rsidRPr="00BC4F7A">
              <w:rPr>
                <w:szCs w:val="24"/>
              </w:rPr>
              <w:t># Women</w:t>
            </w:r>
          </w:p>
        </w:tc>
        <w:tc>
          <w:tcPr>
            <w:tcW w:w="562" w:type="pct"/>
            <w:tcBorders>
              <w:left w:val="single" w:sz="4" w:space="0" w:color="auto"/>
            </w:tcBorders>
            <w:shd w:val="clear" w:color="auto" w:fill="auto"/>
          </w:tcPr>
          <w:p w:rsidR="002E3649" w:rsidRPr="00BC4F7A" w:rsidRDefault="002E3649" w:rsidP="002E3649">
            <w:pPr>
              <w:jc w:val="center"/>
              <w:rPr>
                <w:szCs w:val="24"/>
              </w:rPr>
            </w:pPr>
            <w:r w:rsidRPr="00BC4F7A">
              <w:rPr>
                <w:szCs w:val="24"/>
              </w:rPr>
              <w:t>4040</w:t>
            </w:r>
          </w:p>
        </w:tc>
        <w:tc>
          <w:tcPr>
            <w:tcW w:w="562" w:type="pct"/>
          </w:tcPr>
          <w:p w:rsidR="002E3649" w:rsidRPr="00BC4F7A" w:rsidRDefault="002E3649" w:rsidP="002E3649">
            <w:pPr>
              <w:jc w:val="center"/>
              <w:rPr>
                <w:szCs w:val="24"/>
              </w:rPr>
            </w:pPr>
            <w:r>
              <w:rPr>
                <w:szCs w:val="24"/>
              </w:rPr>
              <w:t>3904</w:t>
            </w:r>
          </w:p>
        </w:tc>
        <w:tc>
          <w:tcPr>
            <w:tcW w:w="562" w:type="pct"/>
          </w:tcPr>
          <w:p w:rsidR="002E3649" w:rsidRPr="00BC4F7A" w:rsidRDefault="001B5D7B" w:rsidP="002E3649">
            <w:pPr>
              <w:jc w:val="center"/>
              <w:rPr>
                <w:szCs w:val="24"/>
              </w:rPr>
            </w:pPr>
            <w:r>
              <w:rPr>
                <w:szCs w:val="24"/>
              </w:rPr>
              <w:t>3913</w:t>
            </w:r>
          </w:p>
        </w:tc>
        <w:tc>
          <w:tcPr>
            <w:tcW w:w="318" w:type="pct"/>
            <w:shd w:val="clear" w:color="auto" w:fill="auto"/>
          </w:tcPr>
          <w:p w:rsidR="002E3649" w:rsidRPr="00370FBA" w:rsidRDefault="001B5D7B" w:rsidP="002E3649">
            <w:pPr>
              <w:jc w:val="center"/>
              <w:rPr>
                <w:szCs w:val="24"/>
              </w:rPr>
            </w:pPr>
            <w:r w:rsidRPr="00370FBA">
              <w:rPr>
                <w:rFonts w:cstheme="minorHAnsi"/>
                <w:szCs w:val="24"/>
              </w:rPr>
              <w:t>↑</w:t>
            </w:r>
          </w:p>
        </w:tc>
      </w:tr>
      <w:tr w:rsidR="002E3649" w:rsidRPr="00BC4F7A" w:rsidTr="002E3649">
        <w:tc>
          <w:tcPr>
            <w:tcW w:w="2995" w:type="pct"/>
            <w:shd w:val="clear" w:color="auto" w:fill="auto"/>
          </w:tcPr>
          <w:p w:rsidR="002E3649" w:rsidRPr="00BC4F7A" w:rsidRDefault="002E3649" w:rsidP="002E3649">
            <w:pPr>
              <w:rPr>
                <w:szCs w:val="24"/>
              </w:rPr>
            </w:pPr>
            <w:r w:rsidRPr="00BC4F7A">
              <w:rPr>
                <w:szCs w:val="24"/>
              </w:rPr>
              <w:t># Men</w:t>
            </w:r>
          </w:p>
        </w:tc>
        <w:tc>
          <w:tcPr>
            <w:tcW w:w="562" w:type="pct"/>
            <w:tcBorders>
              <w:left w:val="single" w:sz="4" w:space="0" w:color="auto"/>
            </w:tcBorders>
            <w:shd w:val="clear" w:color="auto" w:fill="auto"/>
          </w:tcPr>
          <w:p w:rsidR="002E3649" w:rsidRPr="00BC4F7A" w:rsidRDefault="002E3649" w:rsidP="002E3649">
            <w:pPr>
              <w:jc w:val="center"/>
              <w:rPr>
                <w:szCs w:val="24"/>
              </w:rPr>
            </w:pPr>
            <w:r w:rsidRPr="00BC4F7A">
              <w:rPr>
                <w:szCs w:val="24"/>
              </w:rPr>
              <w:t>3278</w:t>
            </w:r>
          </w:p>
        </w:tc>
        <w:tc>
          <w:tcPr>
            <w:tcW w:w="562" w:type="pct"/>
          </w:tcPr>
          <w:p w:rsidR="002E3649" w:rsidRPr="00BC4F7A" w:rsidRDefault="002E3649" w:rsidP="002E3649">
            <w:pPr>
              <w:jc w:val="center"/>
              <w:rPr>
                <w:szCs w:val="24"/>
              </w:rPr>
            </w:pPr>
            <w:r>
              <w:rPr>
                <w:szCs w:val="24"/>
              </w:rPr>
              <w:t>3121</w:t>
            </w:r>
          </w:p>
        </w:tc>
        <w:tc>
          <w:tcPr>
            <w:tcW w:w="562" w:type="pct"/>
          </w:tcPr>
          <w:p w:rsidR="002E3649" w:rsidRPr="00BC4F7A" w:rsidRDefault="001B5D7B" w:rsidP="002E3649">
            <w:pPr>
              <w:jc w:val="center"/>
              <w:rPr>
                <w:szCs w:val="24"/>
              </w:rPr>
            </w:pPr>
            <w:r>
              <w:rPr>
                <w:szCs w:val="24"/>
              </w:rPr>
              <w:t>3059</w:t>
            </w:r>
          </w:p>
        </w:tc>
        <w:tc>
          <w:tcPr>
            <w:tcW w:w="318" w:type="pct"/>
            <w:shd w:val="clear" w:color="auto" w:fill="auto"/>
          </w:tcPr>
          <w:p w:rsidR="002E3649" w:rsidRPr="00370FBA" w:rsidRDefault="002E3649" w:rsidP="002E3649">
            <w:pPr>
              <w:jc w:val="center"/>
              <w:rPr>
                <w:szCs w:val="24"/>
              </w:rPr>
            </w:pPr>
            <w:r w:rsidRPr="00370FBA">
              <w:rPr>
                <w:szCs w:val="24"/>
              </w:rPr>
              <w:t>↓</w:t>
            </w:r>
          </w:p>
        </w:tc>
      </w:tr>
      <w:tr w:rsidR="002E3649" w:rsidRPr="00BC4F7A" w:rsidTr="002E3649">
        <w:tc>
          <w:tcPr>
            <w:tcW w:w="2995" w:type="pct"/>
            <w:tcBorders>
              <w:bottom w:val="single" w:sz="12" w:space="0" w:color="auto"/>
            </w:tcBorders>
            <w:shd w:val="clear" w:color="auto" w:fill="auto"/>
          </w:tcPr>
          <w:p w:rsidR="002E3649" w:rsidRPr="00BC4F7A" w:rsidRDefault="002E3649" w:rsidP="002E3649">
            <w:pPr>
              <w:rPr>
                <w:szCs w:val="24"/>
              </w:rPr>
            </w:pPr>
            <w:r w:rsidRPr="00BC4F7A">
              <w:rPr>
                <w:szCs w:val="24"/>
              </w:rPr>
              <w:t>% Women</w:t>
            </w:r>
          </w:p>
        </w:tc>
        <w:tc>
          <w:tcPr>
            <w:tcW w:w="562" w:type="pct"/>
            <w:tcBorders>
              <w:left w:val="single" w:sz="4" w:space="0" w:color="auto"/>
              <w:bottom w:val="single" w:sz="12" w:space="0" w:color="auto"/>
            </w:tcBorders>
            <w:shd w:val="clear" w:color="auto" w:fill="auto"/>
          </w:tcPr>
          <w:p w:rsidR="002E3649" w:rsidRPr="00BC4F7A" w:rsidRDefault="002E3649" w:rsidP="002E3649">
            <w:pPr>
              <w:jc w:val="center"/>
              <w:rPr>
                <w:szCs w:val="24"/>
              </w:rPr>
            </w:pPr>
            <w:r w:rsidRPr="00BC4F7A">
              <w:rPr>
                <w:szCs w:val="24"/>
              </w:rPr>
              <w:t>55.2</w:t>
            </w:r>
          </w:p>
        </w:tc>
        <w:tc>
          <w:tcPr>
            <w:tcW w:w="562" w:type="pct"/>
            <w:tcBorders>
              <w:bottom w:val="single" w:sz="12" w:space="0" w:color="auto"/>
            </w:tcBorders>
          </w:tcPr>
          <w:p w:rsidR="002E3649" w:rsidRPr="00BC4F7A" w:rsidRDefault="002E3649" w:rsidP="002E3649">
            <w:pPr>
              <w:jc w:val="center"/>
              <w:rPr>
                <w:szCs w:val="24"/>
              </w:rPr>
            </w:pPr>
            <w:r>
              <w:rPr>
                <w:szCs w:val="24"/>
              </w:rPr>
              <w:t>55.6</w:t>
            </w:r>
          </w:p>
        </w:tc>
        <w:tc>
          <w:tcPr>
            <w:tcW w:w="562" w:type="pct"/>
            <w:tcBorders>
              <w:bottom w:val="single" w:sz="12" w:space="0" w:color="auto"/>
            </w:tcBorders>
          </w:tcPr>
          <w:p w:rsidR="002E3649" w:rsidRPr="00BC4F7A" w:rsidRDefault="001B5D7B" w:rsidP="002E3649">
            <w:pPr>
              <w:jc w:val="center"/>
              <w:rPr>
                <w:szCs w:val="24"/>
              </w:rPr>
            </w:pPr>
            <w:r>
              <w:rPr>
                <w:szCs w:val="24"/>
              </w:rPr>
              <w:t>56.1</w:t>
            </w:r>
          </w:p>
        </w:tc>
        <w:tc>
          <w:tcPr>
            <w:tcW w:w="318" w:type="pct"/>
            <w:tcBorders>
              <w:bottom w:val="single" w:sz="12" w:space="0" w:color="auto"/>
            </w:tcBorders>
            <w:shd w:val="clear" w:color="auto" w:fill="auto"/>
          </w:tcPr>
          <w:p w:rsidR="002E3649" w:rsidRPr="00370FBA" w:rsidRDefault="002E3649" w:rsidP="002E3649">
            <w:pPr>
              <w:jc w:val="center"/>
              <w:rPr>
                <w:szCs w:val="24"/>
              </w:rPr>
            </w:pPr>
            <w:r w:rsidRPr="00370FBA">
              <w:rPr>
                <w:rFonts w:cstheme="minorHAnsi"/>
                <w:szCs w:val="24"/>
              </w:rPr>
              <w:t>↑</w:t>
            </w:r>
          </w:p>
        </w:tc>
      </w:tr>
      <w:tr w:rsidR="002E3649" w:rsidRPr="00BC4F7A" w:rsidTr="002E3649">
        <w:tc>
          <w:tcPr>
            <w:tcW w:w="2995" w:type="pct"/>
            <w:tcBorders>
              <w:top w:val="single" w:sz="12" w:space="0" w:color="auto"/>
            </w:tcBorders>
          </w:tcPr>
          <w:p w:rsidR="002E3649" w:rsidRPr="00BC4F7A" w:rsidRDefault="002E3649" w:rsidP="002E3649">
            <w:pPr>
              <w:pStyle w:val="ListParagraph"/>
              <w:numPr>
                <w:ilvl w:val="0"/>
                <w:numId w:val="7"/>
              </w:numPr>
              <w:ind w:hanging="189"/>
              <w:rPr>
                <w:szCs w:val="24"/>
              </w:rPr>
            </w:pPr>
            <w:r w:rsidRPr="00BC4F7A">
              <w:rPr>
                <w:szCs w:val="24"/>
              </w:rPr>
              <w:t>Mean</w:t>
            </w:r>
          </w:p>
        </w:tc>
        <w:tc>
          <w:tcPr>
            <w:tcW w:w="562" w:type="pct"/>
            <w:tcBorders>
              <w:top w:val="single" w:sz="12" w:space="0" w:color="auto"/>
              <w:left w:val="single" w:sz="4" w:space="0" w:color="auto"/>
            </w:tcBorders>
            <w:shd w:val="clear" w:color="auto" w:fill="auto"/>
          </w:tcPr>
          <w:p w:rsidR="002E3649" w:rsidRPr="00BC4F7A" w:rsidRDefault="002E3649" w:rsidP="002E3649">
            <w:pPr>
              <w:jc w:val="center"/>
              <w:rPr>
                <w:szCs w:val="24"/>
              </w:rPr>
            </w:pPr>
            <w:r w:rsidRPr="00BC4F7A">
              <w:rPr>
                <w:szCs w:val="24"/>
              </w:rPr>
              <w:t>21.17</w:t>
            </w:r>
          </w:p>
        </w:tc>
        <w:tc>
          <w:tcPr>
            <w:tcW w:w="562" w:type="pct"/>
            <w:tcBorders>
              <w:top w:val="single" w:sz="12" w:space="0" w:color="auto"/>
            </w:tcBorders>
          </w:tcPr>
          <w:p w:rsidR="002E3649" w:rsidRPr="00BC4F7A" w:rsidRDefault="002E3649" w:rsidP="002E3649">
            <w:pPr>
              <w:jc w:val="center"/>
              <w:rPr>
                <w:szCs w:val="24"/>
              </w:rPr>
            </w:pPr>
            <w:r w:rsidRPr="00576140">
              <w:rPr>
                <w:szCs w:val="24"/>
              </w:rPr>
              <w:t>20.5</w:t>
            </w:r>
            <w:r>
              <w:rPr>
                <w:szCs w:val="24"/>
              </w:rPr>
              <w:t>0</w:t>
            </w:r>
          </w:p>
        </w:tc>
        <w:tc>
          <w:tcPr>
            <w:tcW w:w="562" w:type="pct"/>
            <w:tcBorders>
              <w:top w:val="single" w:sz="12" w:space="0" w:color="auto"/>
            </w:tcBorders>
          </w:tcPr>
          <w:p w:rsidR="002E3649" w:rsidRPr="00576140" w:rsidRDefault="001B5D7B" w:rsidP="002E3649">
            <w:pPr>
              <w:jc w:val="center"/>
              <w:rPr>
                <w:szCs w:val="24"/>
              </w:rPr>
            </w:pPr>
            <w:r>
              <w:rPr>
                <w:szCs w:val="24"/>
              </w:rPr>
              <w:t>21.01</w:t>
            </w:r>
          </w:p>
        </w:tc>
        <w:tc>
          <w:tcPr>
            <w:tcW w:w="318" w:type="pct"/>
            <w:tcBorders>
              <w:top w:val="single" w:sz="12" w:space="0" w:color="auto"/>
            </w:tcBorders>
            <w:shd w:val="clear" w:color="auto" w:fill="auto"/>
          </w:tcPr>
          <w:p w:rsidR="002E3649" w:rsidRPr="00370FBA" w:rsidRDefault="001B5D7B" w:rsidP="002E3649">
            <w:pPr>
              <w:jc w:val="center"/>
              <w:rPr>
                <w:color w:val="FF0000"/>
                <w:szCs w:val="24"/>
              </w:rPr>
            </w:pPr>
            <w:r w:rsidRPr="00370FBA">
              <w:rPr>
                <w:rFonts w:cstheme="minorHAnsi"/>
                <w:color w:val="FF0000"/>
                <w:szCs w:val="24"/>
              </w:rPr>
              <w:t>↑</w:t>
            </w:r>
          </w:p>
        </w:tc>
      </w:tr>
      <w:tr w:rsidR="002E3649" w:rsidRPr="00BC4F7A" w:rsidTr="002E3649">
        <w:tc>
          <w:tcPr>
            <w:tcW w:w="2995" w:type="pct"/>
            <w:tcBorders>
              <w:bottom w:val="single" w:sz="12" w:space="0" w:color="auto"/>
            </w:tcBorders>
          </w:tcPr>
          <w:p w:rsidR="002E3649" w:rsidRPr="00BC4F7A" w:rsidRDefault="002E3649" w:rsidP="002E3649">
            <w:pPr>
              <w:pStyle w:val="ListParagraph"/>
              <w:numPr>
                <w:ilvl w:val="0"/>
                <w:numId w:val="7"/>
              </w:numPr>
              <w:ind w:hanging="189"/>
              <w:rPr>
                <w:szCs w:val="24"/>
              </w:rPr>
            </w:pPr>
            <w:r w:rsidRPr="00BC4F7A">
              <w:rPr>
                <w:szCs w:val="24"/>
              </w:rPr>
              <w:t>Median</w:t>
            </w:r>
          </w:p>
        </w:tc>
        <w:tc>
          <w:tcPr>
            <w:tcW w:w="562" w:type="pct"/>
            <w:tcBorders>
              <w:left w:val="single" w:sz="4" w:space="0" w:color="auto"/>
              <w:bottom w:val="single" w:sz="12" w:space="0" w:color="auto"/>
            </w:tcBorders>
            <w:shd w:val="clear" w:color="auto" w:fill="auto"/>
          </w:tcPr>
          <w:p w:rsidR="002E3649" w:rsidRPr="00BC4F7A" w:rsidRDefault="002E3649" w:rsidP="002E3649">
            <w:pPr>
              <w:jc w:val="center"/>
              <w:rPr>
                <w:szCs w:val="24"/>
              </w:rPr>
            </w:pPr>
            <w:r w:rsidRPr="00BC4F7A">
              <w:rPr>
                <w:szCs w:val="24"/>
              </w:rPr>
              <w:t>16.18</w:t>
            </w:r>
          </w:p>
        </w:tc>
        <w:tc>
          <w:tcPr>
            <w:tcW w:w="562" w:type="pct"/>
            <w:tcBorders>
              <w:bottom w:val="single" w:sz="12" w:space="0" w:color="auto"/>
            </w:tcBorders>
          </w:tcPr>
          <w:p w:rsidR="002E3649" w:rsidRPr="00BC4F7A" w:rsidRDefault="002E3649" w:rsidP="002E3649">
            <w:pPr>
              <w:jc w:val="center"/>
              <w:rPr>
                <w:szCs w:val="24"/>
              </w:rPr>
            </w:pPr>
            <w:r w:rsidRPr="00576140">
              <w:rPr>
                <w:szCs w:val="24"/>
              </w:rPr>
              <w:t>14.23</w:t>
            </w:r>
          </w:p>
        </w:tc>
        <w:tc>
          <w:tcPr>
            <w:tcW w:w="562" w:type="pct"/>
            <w:tcBorders>
              <w:bottom w:val="single" w:sz="12" w:space="0" w:color="auto"/>
            </w:tcBorders>
          </w:tcPr>
          <w:p w:rsidR="002E3649" w:rsidRPr="00576140" w:rsidRDefault="001B5D7B" w:rsidP="002E3649">
            <w:pPr>
              <w:jc w:val="center"/>
              <w:rPr>
                <w:szCs w:val="24"/>
              </w:rPr>
            </w:pPr>
            <w:r>
              <w:rPr>
                <w:szCs w:val="24"/>
              </w:rPr>
              <w:t>16.09</w:t>
            </w:r>
          </w:p>
        </w:tc>
        <w:tc>
          <w:tcPr>
            <w:tcW w:w="318" w:type="pct"/>
            <w:tcBorders>
              <w:bottom w:val="single" w:sz="12" w:space="0" w:color="auto"/>
            </w:tcBorders>
            <w:shd w:val="clear" w:color="auto" w:fill="auto"/>
          </w:tcPr>
          <w:p w:rsidR="002E3649" w:rsidRPr="00370FBA" w:rsidRDefault="001B5D7B" w:rsidP="002E3649">
            <w:pPr>
              <w:jc w:val="center"/>
              <w:rPr>
                <w:color w:val="FF0000"/>
                <w:szCs w:val="24"/>
              </w:rPr>
            </w:pPr>
            <w:r w:rsidRPr="00370FBA">
              <w:rPr>
                <w:rFonts w:cstheme="minorHAnsi"/>
                <w:color w:val="FF0000"/>
                <w:szCs w:val="24"/>
              </w:rPr>
              <w:t>↑</w:t>
            </w:r>
          </w:p>
        </w:tc>
      </w:tr>
      <w:tr w:rsidR="002E3649" w:rsidRPr="00BC4F7A" w:rsidTr="002E3649">
        <w:tc>
          <w:tcPr>
            <w:tcW w:w="2995" w:type="pct"/>
            <w:tcBorders>
              <w:top w:val="single" w:sz="12" w:space="0" w:color="auto"/>
            </w:tcBorders>
          </w:tcPr>
          <w:p w:rsidR="002E3649" w:rsidRPr="00BC4F7A" w:rsidRDefault="002E3649" w:rsidP="002E3649">
            <w:pPr>
              <w:pStyle w:val="ListParagraph"/>
              <w:numPr>
                <w:ilvl w:val="0"/>
                <w:numId w:val="7"/>
              </w:numPr>
              <w:ind w:hanging="189"/>
              <w:rPr>
                <w:szCs w:val="24"/>
              </w:rPr>
            </w:pPr>
            <w:r w:rsidRPr="00BC4F7A">
              <w:rPr>
                <w:szCs w:val="24"/>
              </w:rPr>
              <w:t>Mean Bonus</w:t>
            </w:r>
          </w:p>
        </w:tc>
        <w:tc>
          <w:tcPr>
            <w:tcW w:w="562" w:type="pct"/>
            <w:tcBorders>
              <w:top w:val="single" w:sz="12" w:space="0" w:color="auto"/>
              <w:left w:val="single" w:sz="4" w:space="0" w:color="auto"/>
            </w:tcBorders>
            <w:shd w:val="clear" w:color="auto" w:fill="auto"/>
          </w:tcPr>
          <w:p w:rsidR="002E3649" w:rsidRPr="00BC4F7A" w:rsidRDefault="002E3649" w:rsidP="002E3649">
            <w:pPr>
              <w:jc w:val="center"/>
              <w:rPr>
                <w:szCs w:val="24"/>
              </w:rPr>
            </w:pPr>
            <w:r w:rsidRPr="00BC4F7A">
              <w:rPr>
                <w:szCs w:val="24"/>
              </w:rPr>
              <w:t>68.35</w:t>
            </w:r>
          </w:p>
        </w:tc>
        <w:tc>
          <w:tcPr>
            <w:tcW w:w="562" w:type="pct"/>
            <w:tcBorders>
              <w:top w:val="single" w:sz="12" w:space="0" w:color="auto"/>
            </w:tcBorders>
            <w:shd w:val="clear" w:color="auto" w:fill="auto"/>
          </w:tcPr>
          <w:p w:rsidR="002E3649" w:rsidRPr="00BC4F7A" w:rsidRDefault="002E3649" w:rsidP="002E3649">
            <w:pPr>
              <w:jc w:val="center"/>
              <w:rPr>
                <w:szCs w:val="24"/>
              </w:rPr>
            </w:pPr>
            <w:r>
              <w:rPr>
                <w:szCs w:val="24"/>
              </w:rPr>
              <w:t>39.74</w:t>
            </w:r>
          </w:p>
        </w:tc>
        <w:tc>
          <w:tcPr>
            <w:tcW w:w="562" w:type="pct"/>
            <w:tcBorders>
              <w:top w:val="single" w:sz="12" w:space="0" w:color="auto"/>
            </w:tcBorders>
            <w:shd w:val="clear" w:color="auto" w:fill="auto"/>
          </w:tcPr>
          <w:p w:rsidR="002E3649" w:rsidRPr="00576140" w:rsidRDefault="00DE0CD8" w:rsidP="002E3649">
            <w:pPr>
              <w:jc w:val="center"/>
              <w:rPr>
                <w:szCs w:val="24"/>
              </w:rPr>
            </w:pPr>
            <w:r>
              <w:rPr>
                <w:szCs w:val="24"/>
              </w:rPr>
              <w:t>45.11</w:t>
            </w:r>
          </w:p>
        </w:tc>
        <w:tc>
          <w:tcPr>
            <w:tcW w:w="318" w:type="pct"/>
            <w:tcBorders>
              <w:top w:val="single" w:sz="12" w:space="0" w:color="auto"/>
            </w:tcBorders>
            <w:shd w:val="clear" w:color="auto" w:fill="auto"/>
          </w:tcPr>
          <w:p w:rsidR="002E3649" w:rsidRPr="00370FBA" w:rsidRDefault="00DE0CD8" w:rsidP="002E3649">
            <w:pPr>
              <w:jc w:val="center"/>
              <w:rPr>
                <w:i/>
                <w:color w:val="FF0000"/>
                <w:szCs w:val="24"/>
              </w:rPr>
            </w:pPr>
            <w:r w:rsidRPr="00370FBA">
              <w:rPr>
                <w:rFonts w:cstheme="minorHAnsi"/>
                <w:i/>
                <w:color w:val="FF0000"/>
                <w:szCs w:val="24"/>
              </w:rPr>
              <w:t>↑</w:t>
            </w:r>
          </w:p>
        </w:tc>
      </w:tr>
      <w:tr w:rsidR="002E3649" w:rsidRPr="00BC4F7A" w:rsidTr="002E3649">
        <w:tc>
          <w:tcPr>
            <w:tcW w:w="2995" w:type="pct"/>
            <w:tcBorders>
              <w:bottom w:val="single" w:sz="12" w:space="0" w:color="auto"/>
            </w:tcBorders>
          </w:tcPr>
          <w:p w:rsidR="002E3649" w:rsidRPr="00BC4F7A" w:rsidRDefault="002E3649" w:rsidP="002E3649">
            <w:pPr>
              <w:pStyle w:val="ListParagraph"/>
              <w:numPr>
                <w:ilvl w:val="0"/>
                <w:numId w:val="7"/>
              </w:numPr>
              <w:ind w:hanging="189"/>
              <w:rPr>
                <w:szCs w:val="24"/>
              </w:rPr>
            </w:pPr>
            <w:r w:rsidRPr="00BC4F7A">
              <w:rPr>
                <w:szCs w:val="24"/>
              </w:rPr>
              <w:t>Median Bonus</w:t>
            </w:r>
          </w:p>
        </w:tc>
        <w:tc>
          <w:tcPr>
            <w:tcW w:w="562" w:type="pct"/>
            <w:tcBorders>
              <w:left w:val="single" w:sz="4" w:space="0" w:color="auto"/>
              <w:bottom w:val="single" w:sz="12" w:space="0" w:color="auto"/>
            </w:tcBorders>
            <w:shd w:val="clear" w:color="auto" w:fill="auto"/>
          </w:tcPr>
          <w:p w:rsidR="002E3649" w:rsidRPr="00BC4F7A" w:rsidRDefault="002E3649" w:rsidP="002E3649">
            <w:pPr>
              <w:jc w:val="center"/>
              <w:rPr>
                <w:szCs w:val="24"/>
              </w:rPr>
            </w:pPr>
            <w:r w:rsidRPr="00BC4F7A">
              <w:rPr>
                <w:szCs w:val="24"/>
              </w:rPr>
              <w:t>82.87</w:t>
            </w:r>
          </w:p>
        </w:tc>
        <w:tc>
          <w:tcPr>
            <w:tcW w:w="562" w:type="pct"/>
            <w:tcBorders>
              <w:bottom w:val="single" w:sz="12" w:space="0" w:color="auto"/>
            </w:tcBorders>
            <w:shd w:val="clear" w:color="auto" w:fill="auto"/>
          </w:tcPr>
          <w:p w:rsidR="002E3649" w:rsidRPr="00BC4F7A" w:rsidRDefault="002E3649" w:rsidP="002E3649">
            <w:pPr>
              <w:jc w:val="center"/>
              <w:rPr>
                <w:szCs w:val="24"/>
              </w:rPr>
            </w:pPr>
            <w:r>
              <w:rPr>
                <w:szCs w:val="24"/>
              </w:rPr>
              <w:t>66.67</w:t>
            </w:r>
          </w:p>
        </w:tc>
        <w:tc>
          <w:tcPr>
            <w:tcW w:w="562" w:type="pct"/>
            <w:tcBorders>
              <w:bottom w:val="single" w:sz="12" w:space="0" w:color="auto"/>
            </w:tcBorders>
            <w:shd w:val="clear" w:color="auto" w:fill="auto"/>
          </w:tcPr>
          <w:p w:rsidR="002E3649" w:rsidRPr="00576140" w:rsidRDefault="00DE0CD8" w:rsidP="002E3649">
            <w:pPr>
              <w:jc w:val="center"/>
              <w:rPr>
                <w:szCs w:val="24"/>
              </w:rPr>
            </w:pPr>
            <w:r>
              <w:rPr>
                <w:szCs w:val="24"/>
              </w:rPr>
              <w:t>75.00</w:t>
            </w:r>
          </w:p>
        </w:tc>
        <w:tc>
          <w:tcPr>
            <w:tcW w:w="318" w:type="pct"/>
            <w:tcBorders>
              <w:bottom w:val="single" w:sz="12" w:space="0" w:color="auto"/>
            </w:tcBorders>
            <w:shd w:val="clear" w:color="auto" w:fill="auto"/>
          </w:tcPr>
          <w:p w:rsidR="002E3649" w:rsidRPr="00370FBA" w:rsidRDefault="00DE0CD8" w:rsidP="002E3649">
            <w:pPr>
              <w:jc w:val="center"/>
              <w:rPr>
                <w:i/>
                <w:color w:val="FF0000"/>
                <w:szCs w:val="24"/>
              </w:rPr>
            </w:pPr>
            <w:r w:rsidRPr="00370FBA">
              <w:rPr>
                <w:rFonts w:cstheme="minorHAnsi"/>
                <w:i/>
                <w:color w:val="FF0000"/>
                <w:szCs w:val="24"/>
              </w:rPr>
              <w:t>↑</w:t>
            </w:r>
          </w:p>
        </w:tc>
      </w:tr>
      <w:tr w:rsidR="002E3649" w:rsidRPr="00BC4F7A" w:rsidTr="002E3649">
        <w:tc>
          <w:tcPr>
            <w:tcW w:w="2995" w:type="pct"/>
            <w:tcBorders>
              <w:top w:val="single" w:sz="12" w:space="0" w:color="auto"/>
            </w:tcBorders>
          </w:tcPr>
          <w:p w:rsidR="002E3649" w:rsidRPr="00BC4F7A" w:rsidRDefault="002E3649" w:rsidP="002E3649">
            <w:pPr>
              <w:rPr>
                <w:szCs w:val="24"/>
              </w:rPr>
            </w:pPr>
            <w:r w:rsidRPr="00BC4F7A">
              <w:rPr>
                <w:szCs w:val="24"/>
              </w:rPr>
              <w:t xml:space="preserve">% Female </w:t>
            </w:r>
            <w:r w:rsidR="0049360E">
              <w:rPr>
                <w:szCs w:val="24"/>
              </w:rPr>
              <w:t>S</w:t>
            </w:r>
            <w:r w:rsidRPr="00BC4F7A">
              <w:rPr>
                <w:szCs w:val="24"/>
              </w:rPr>
              <w:t xml:space="preserve">taff in </w:t>
            </w:r>
            <w:r w:rsidR="0049360E">
              <w:rPr>
                <w:szCs w:val="24"/>
              </w:rPr>
              <w:t>R</w:t>
            </w:r>
            <w:r w:rsidRPr="00BC4F7A">
              <w:rPr>
                <w:szCs w:val="24"/>
              </w:rPr>
              <w:t xml:space="preserve">eceipt of </w:t>
            </w:r>
            <w:r w:rsidR="0049360E">
              <w:rPr>
                <w:szCs w:val="24"/>
              </w:rPr>
              <w:t>B</w:t>
            </w:r>
            <w:r w:rsidRPr="00BC4F7A">
              <w:rPr>
                <w:szCs w:val="24"/>
              </w:rPr>
              <w:t xml:space="preserve">onus </w:t>
            </w:r>
            <w:r w:rsidR="0049360E">
              <w:rPr>
                <w:szCs w:val="24"/>
              </w:rPr>
              <w:t>P</w:t>
            </w:r>
            <w:r w:rsidRPr="00BC4F7A">
              <w:rPr>
                <w:szCs w:val="24"/>
              </w:rPr>
              <w:t>ay</w:t>
            </w:r>
          </w:p>
        </w:tc>
        <w:tc>
          <w:tcPr>
            <w:tcW w:w="562" w:type="pct"/>
            <w:tcBorders>
              <w:top w:val="single" w:sz="12" w:space="0" w:color="auto"/>
              <w:left w:val="single" w:sz="4" w:space="0" w:color="auto"/>
              <w:right w:val="single" w:sz="4" w:space="0" w:color="auto"/>
            </w:tcBorders>
            <w:shd w:val="clear" w:color="auto" w:fill="auto"/>
          </w:tcPr>
          <w:p w:rsidR="002E3649" w:rsidRPr="00BC4F7A" w:rsidRDefault="002E3649" w:rsidP="002E3649">
            <w:pPr>
              <w:jc w:val="center"/>
              <w:rPr>
                <w:szCs w:val="24"/>
              </w:rPr>
            </w:pPr>
            <w:r w:rsidRPr="00BC4F7A">
              <w:rPr>
                <w:szCs w:val="24"/>
              </w:rPr>
              <w:t>1.27</w:t>
            </w:r>
          </w:p>
        </w:tc>
        <w:tc>
          <w:tcPr>
            <w:tcW w:w="562" w:type="pct"/>
            <w:tcBorders>
              <w:top w:val="single" w:sz="12" w:space="0" w:color="auto"/>
              <w:left w:val="single" w:sz="4" w:space="0" w:color="auto"/>
              <w:right w:val="single" w:sz="4" w:space="0" w:color="auto"/>
            </w:tcBorders>
            <w:shd w:val="clear" w:color="auto" w:fill="auto"/>
          </w:tcPr>
          <w:p w:rsidR="002E3649" w:rsidRPr="00BC4F7A" w:rsidRDefault="002E3649" w:rsidP="002E3649">
            <w:pPr>
              <w:jc w:val="center"/>
              <w:rPr>
                <w:szCs w:val="24"/>
              </w:rPr>
            </w:pPr>
            <w:r>
              <w:rPr>
                <w:rFonts w:cstheme="minorHAnsi"/>
                <w:szCs w:val="24"/>
              </w:rPr>
              <w:t>0.19</w:t>
            </w:r>
          </w:p>
        </w:tc>
        <w:tc>
          <w:tcPr>
            <w:tcW w:w="562" w:type="pct"/>
            <w:tcBorders>
              <w:top w:val="single" w:sz="12" w:space="0" w:color="auto"/>
              <w:left w:val="single" w:sz="4" w:space="0" w:color="auto"/>
              <w:right w:val="single" w:sz="4" w:space="0" w:color="auto"/>
            </w:tcBorders>
            <w:shd w:val="clear" w:color="auto" w:fill="auto"/>
          </w:tcPr>
          <w:p w:rsidR="002E3649" w:rsidRPr="00576140" w:rsidRDefault="006622E9" w:rsidP="002E3649">
            <w:pPr>
              <w:jc w:val="center"/>
              <w:rPr>
                <w:rFonts w:cstheme="minorHAnsi"/>
                <w:szCs w:val="24"/>
              </w:rPr>
            </w:pPr>
            <w:r>
              <w:rPr>
                <w:rFonts w:cstheme="minorHAnsi"/>
                <w:szCs w:val="24"/>
              </w:rPr>
              <w:t>0.2</w:t>
            </w:r>
            <w:r w:rsidR="006B259B">
              <w:rPr>
                <w:rFonts w:cstheme="minorHAnsi"/>
                <w:szCs w:val="24"/>
              </w:rPr>
              <w:t>1</w:t>
            </w:r>
          </w:p>
        </w:tc>
        <w:tc>
          <w:tcPr>
            <w:tcW w:w="318" w:type="pct"/>
            <w:tcBorders>
              <w:top w:val="single" w:sz="12" w:space="0" w:color="auto"/>
              <w:left w:val="single" w:sz="4" w:space="0" w:color="auto"/>
            </w:tcBorders>
            <w:shd w:val="clear" w:color="auto" w:fill="auto"/>
          </w:tcPr>
          <w:p w:rsidR="002E3649" w:rsidRPr="00370FBA" w:rsidRDefault="00522549" w:rsidP="002E3649">
            <w:pPr>
              <w:jc w:val="center"/>
              <w:rPr>
                <w:szCs w:val="24"/>
              </w:rPr>
            </w:pPr>
            <w:r w:rsidRPr="00370FBA">
              <w:rPr>
                <w:rFonts w:cstheme="minorHAnsi"/>
                <w:color w:val="00B050"/>
                <w:szCs w:val="24"/>
              </w:rPr>
              <w:t>↑</w:t>
            </w:r>
          </w:p>
        </w:tc>
      </w:tr>
      <w:tr w:rsidR="002E3649" w:rsidRPr="00BC4F7A" w:rsidTr="002E3649">
        <w:tc>
          <w:tcPr>
            <w:tcW w:w="2995" w:type="pct"/>
          </w:tcPr>
          <w:p w:rsidR="002E3649" w:rsidRPr="00BC4F7A" w:rsidRDefault="002E3649" w:rsidP="002E3649">
            <w:pPr>
              <w:rPr>
                <w:szCs w:val="24"/>
              </w:rPr>
            </w:pPr>
            <w:r w:rsidRPr="00BC4F7A">
              <w:rPr>
                <w:szCs w:val="24"/>
              </w:rPr>
              <w:t xml:space="preserve">% of Male </w:t>
            </w:r>
            <w:r w:rsidR="0049360E">
              <w:rPr>
                <w:szCs w:val="24"/>
              </w:rPr>
              <w:t>S</w:t>
            </w:r>
            <w:r w:rsidRPr="00BC4F7A">
              <w:rPr>
                <w:szCs w:val="24"/>
              </w:rPr>
              <w:t xml:space="preserve">taff in </w:t>
            </w:r>
            <w:r w:rsidR="0049360E">
              <w:rPr>
                <w:szCs w:val="24"/>
              </w:rPr>
              <w:t>R</w:t>
            </w:r>
            <w:r w:rsidRPr="00BC4F7A">
              <w:rPr>
                <w:szCs w:val="24"/>
              </w:rPr>
              <w:t xml:space="preserve">eceipt of </w:t>
            </w:r>
            <w:r w:rsidR="0049360E">
              <w:rPr>
                <w:szCs w:val="24"/>
              </w:rPr>
              <w:t>B</w:t>
            </w:r>
            <w:r w:rsidRPr="00BC4F7A">
              <w:rPr>
                <w:szCs w:val="24"/>
              </w:rPr>
              <w:t xml:space="preserve">onus </w:t>
            </w:r>
            <w:r w:rsidR="0049360E">
              <w:rPr>
                <w:szCs w:val="24"/>
              </w:rPr>
              <w:t>P</w:t>
            </w:r>
            <w:r w:rsidRPr="00BC4F7A">
              <w:rPr>
                <w:szCs w:val="24"/>
              </w:rPr>
              <w:t>ay</w:t>
            </w:r>
          </w:p>
        </w:tc>
        <w:tc>
          <w:tcPr>
            <w:tcW w:w="562" w:type="pct"/>
            <w:tcBorders>
              <w:left w:val="single" w:sz="4" w:space="0" w:color="auto"/>
              <w:right w:val="single" w:sz="4" w:space="0" w:color="auto"/>
            </w:tcBorders>
            <w:shd w:val="clear" w:color="auto" w:fill="auto"/>
          </w:tcPr>
          <w:p w:rsidR="002E3649" w:rsidRPr="00BC4F7A" w:rsidRDefault="002E3649" w:rsidP="002E3649">
            <w:pPr>
              <w:jc w:val="center"/>
              <w:rPr>
                <w:szCs w:val="24"/>
              </w:rPr>
            </w:pPr>
            <w:r w:rsidRPr="00BC4F7A">
              <w:rPr>
                <w:szCs w:val="24"/>
              </w:rPr>
              <w:t>2.10</w:t>
            </w:r>
          </w:p>
        </w:tc>
        <w:tc>
          <w:tcPr>
            <w:tcW w:w="562" w:type="pct"/>
            <w:tcBorders>
              <w:left w:val="single" w:sz="4" w:space="0" w:color="auto"/>
              <w:right w:val="single" w:sz="4" w:space="0" w:color="auto"/>
            </w:tcBorders>
            <w:shd w:val="clear" w:color="auto" w:fill="auto"/>
          </w:tcPr>
          <w:p w:rsidR="002E3649" w:rsidRPr="00BC4F7A" w:rsidRDefault="002E3649" w:rsidP="002E3649">
            <w:pPr>
              <w:jc w:val="center"/>
              <w:rPr>
                <w:szCs w:val="24"/>
              </w:rPr>
            </w:pPr>
            <w:r>
              <w:rPr>
                <w:szCs w:val="24"/>
              </w:rPr>
              <w:t>1.35</w:t>
            </w:r>
          </w:p>
        </w:tc>
        <w:tc>
          <w:tcPr>
            <w:tcW w:w="562" w:type="pct"/>
            <w:tcBorders>
              <w:left w:val="single" w:sz="4" w:space="0" w:color="auto"/>
              <w:right w:val="single" w:sz="4" w:space="0" w:color="auto"/>
            </w:tcBorders>
            <w:shd w:val="clear" w:color="auto" w:fill="auto"/>
          </w:tcPr>
          <w:p w:rsidR="002E3649" w:rsidRPr="00576140" w:rsidRDefault="006B259B" w:rsidP="002E3649">
            <w:pPr>
              <w:jc w:val="center"/>
              <w:rPr>
                <w:szCs w:val="24"/>
              </w:rPr>
            </w:pPr>
            <w:r>
              <w:rPr>
                <w:szCs w:val="24"/>
              </w:rPr>
              <w:t>1.16</w:t>
            </w:r>
          </w:p>
        </w:tc>
        <w:tc>
          <w:tcPr>
            <w:tcW w:w="318" w:type="pct"/>
            <w:tcBorders>
              <w:left w:val="single" w:sz="4" w:space="0" w:color="auto"/>
            </w:tcBorders>
            <w:shd w:val="clear" w:color="auto" w:fill="auto"/>
          </w:tcPr>
          <w:p w:rsidR="002E3649" w:rsidRPr="00370FBA" w:rsidRDefault="002E3649" w:rsidP="002E3649">
            <w:pPr>
              <w:jc w:val="center"/>
              <w:rPr>
                <w:szCs w:val="24"/>
              </w:rPr>
            </w:pPr>
            <w:r w:rsidRPr="00370FBA">
              <w:rPr>
                <w:rFonts w:cstheme="minorHAnsi"/>
                <w:szCs w:val="24"/>
              </w:rPr>
              <w:t>↓</w:t>
            </w:r>
          </w:p>
        </w:tc>
      </w:tr>
      <w:tr w:rsidR="002E3649" w:rsidRPr="00BC4F7A" w:rsidTr="002E3649">
        <w:tc>
          <w:tcPr>
            <w:tcW w:w="2995" w:type="pct"/>
          </w:tcPr>
          <w:p w:rsidR="002E3649" w:rsidRPr="00BC4F7A" w:rsidRDefault="002E3649" w:rsidP="002E3649">
            <w:pPr>
              <w:rPr>
                <w:szCs w:val="24"/>
              </w:rPr>
            </w:pPr>
            <w:r w:rsidRPr="00BC4F7A">
              <w:rPr>
                <w:szCs w:val="24"/>
              </w:rPr>
              <w:t xml:space="preserve">% </w:t>
            </w:r>
            <w:r w:rsidR="0049360E">
              <w:rPr>
                <w:szCs w:val="24"/>
              </w:rPr>
              <w:t>B</w:t>
            </w:r>
            <w:r w:rsidRPr="00BC4F7A">
              <w:rPr>
                <w:szCs w:val="24"/>
              </w:rPr>
              <w:t xml:space="preserve">onus </w:t>
            </w:r>
            <w:r w:rsidR="0049360E">
              <w:rPr>
                <w:szCs w:val="24"/>
              </w:rPr>
              <w:t>P</w:t>
            </w:r>
            <w:r w:rsidRPr="00BC4F7A">
              <w:rPr>
                <w:szCs w:val="24"/>
              </w:rPr>
              <w:t xml:space="preserve">ay </w:t>
            </w:r>
            <w:r w:rsidR="0049360E">
              <w:rPr>
                <w:szCs w:val="24"/>
              </w:rPr>
              <w:t>R</w:t>
            </w:r>
            <w:r w:rsidRPr="00BC4F7A">
              <w:rPr>
                <w:szCs w:val="24"/>
              </w:rPr>
              <w:t xml:space="preserve">ecipients </w:t>
            </w:r>
            <w:r w:rsidR="0049360E">
              <w:rPr>
                <w:szCs w:val="24"/>
              </w:rPr>
              <w:t>W</w:t>
            </w:r>
            <w:r w:rsidRPr="00BC4F7A">
              <w:rPr>
                <w:szCs w:val="24"/>
              </w:rPr>
              <w:t xml:space="preserve">ho </w:t>
            </w:r>
            <w:r w:rsidR="0049360E">
              <w:rPr>
                <w:szCs w:val="24"/>
              </w:rPr>
              <w:t>A</w:t>
            </w:r>
            <w:r w:rsidRPr="00BC4F7A">
              <w:rPr>
                <w:szCs w:val="24"/>
              </w:rPr>
              <w:t xml:space="preserve">re </w:t>
            </w:r>
            <w:r w:rsidR="0049360E">
              <w:rPr>
                <w:szCs w:val="24"/>
              </w:rPr>
              <w:t>F</w:t>
            </w:r>
            <w:r w:rsidRPr="00BC4F7A">
              <w:rPr>
                <w:szCs w:val="24"/>
              </w:rPr>
              <w:t>emale</w:t>
            </w:r>
          </w:p>
        </w:tc>
        <w:tc>
          <w:tcPr>
            <w:tcW w:w="562" w:type="pct"/>
            <w:tcBorders>
              <w:left w:val="single" w:sz="4" w:space="0" w:color="auto"/>
              <w:right w:val="single" w:sz="4" w:space="0" w:color="auto"/>
            </w:tcBorders>
            <w:shd w:val="clear" w:color="auto" w:fill="auto"/>
          </w:tcPr>
          <w:p w:rsidR="002E3649" w:rsidRPr="00BC4F7A" w:rsidRDefault="002E3649" w:rsidP="002E3649">
            <w:pPr>
              <w:jc w:val="center"/>
              <w:rPr>
                <w:szCs w:val="24"/>
              </w:rPr>
            </w:pPr>
            <w:r w:rsidRPr="00BC4F7A">
              <w:rPr>
                <w:szCs w:val="24"/>
              </w:rPr>
              <w:t>42.42</w:t>
            </w:r>
          </w:p>
        </w:tc>
        <w:tc>
          <w:tcPr>
            <w:tcW w:w="562" w:type="pct"/>
            <w:tcBorders>
              <w:right w:val="single" w:sz="4" w:space="0" w:color="auto"/>
            </w:tcBorders>
            <w:shd w:val="clear" w:color="auto" w:fill="auto"/>
          </w:tcPr>
          <w:p w:rsidR="002E3649" w:rsidRPr="00BC4F7A" w:rsidRDefault="002E3649" w:rsidP="002E3649">
            <w:pPr>
              <w:jc w:val="center"/>
              <w:rPr>
                <w:szCs w:val="24"/>
              </w:rPr>
            </w:pPr>
            <w:r>
              <w:rPr>
                <w:rFonts w:cstheme="minorHAnsi"/>
                <w:szCs w:val="24"/>
              </w:rPr>
              <w:t>14.55</w:t>
            </w:r>
          </w:p>
        </w:tc>
        <w:tc>
          <w:tcPr>
            <w:tcW w:w="562" w:type="pct"/>
            <w:tcBorders>
              <w:right w:val="single" w:sz="4" w:space="0" w:color="auto"/>
            </w:tcBorders>
            <w:shd w:val="clear" w:color="auto" w:fill="auto"/>
          </w:tcPr>
          <w:p w:rsidR="002E3649" w:rsidRPr="00576140" w:rsidRDefault="006B259B" w:rsidP="002E3649">
            <w:pPr>
              <w:jc w:val="center"/>
              <w:rPr>
                <w:rFonts w:cstheme="minorHAnsi"/>
                <w:szCs w:val="24"/>
              </w:rPr>
            </w:pPr>
            <w:r>
              <w:rPr>
                <w:rFonts w:cstheme="minorHAnsi"/>
                <w:szCs w:val="24"/>
              </w:rPr>
              <w:t>18.37</w:t>
            </w:r>
          </w:p>
        </w:tc>
        <w:tc>
          <w:tcPr>
            <w:tcW w:w="318" w:type="pct"/>
            <w:tcBorders>
              <w:left w:val="single" w:sz="4" w:space="0" w:color="auto"/>
              <w:right w:val="single" w:sz="4" w:space="0" w:color="auto"/>
            </w:tcBorders>
            <w:shd w:val="clear" w:color="auto" w:fill="auto"/>
          </w:tcPr>
          <w:p w:rsidR="002E3649" w:rsidRPr="00370FBA" w:rsidRDefault="00522549" w:rsidP="002E3649">
            <w:pPr>
              <w:jc w:val="center"/>
              <w:rPr>
                <w:szCs w:val="24"/>
              </w:rPr>
            </w:pPr>
            <w:r w:rsidRPr="00370FBA">
              <w:rPr>
                <w:rFonts w:cstheme="minorHAnsi"/>
                <w:color w:val="00B050"/>
                <w:szCs w:val="24"/>
              </w:rPr>
              <w:t>↑</w:t>
            </w:r>
          </w:p>
        </w:tc>
      </w:tr>
      <w:tr w:rsidR="002E3649" w:rsidRPr="00BC4F7A" w:rsidTr="002E3649">
        <w:tc>
          <w:tcPr>
            <w:tcW w:w="2995" w:type="pct"/>
          </w:tcPr>
          <w:p w:rsidR="002E3649" w:rsidRPr="00BC4F7A" w:rsidRDefault="002E3649" w:rsidP="002E3649">
            <w:pPr>
              <w:rPr>
                <w:szCs w:val="24"/>
              </w:rPr>
            </w:pPr>
            <w:r w:rsidRPr="00BC4F7A">
              <w:rPr>
                <w:szCs w:val="24"/>
              </w:rPr>
              <w:t xml:space="preserve">% </w:t>
            </w:r>
            <w:r w:rsidR="0049360E">
              <w:rPr>
                <w:szCs w:val="24"/>
              </w:rPr>
              <w:t>B</w:t>
            </w:r>
            <w:r w:rsidRPr="00BC4F7A">
              <w:rPr>
                <w:szCs w:val="24"/>
              </w:rPr>
              <w:t xml:space="preserve">onus </w:t>
            </w:r>
            <w:r w:rsidR="0049360E">
              <w:rPr>
                <w:szCs w:val="24"/>
              </w:rPr>
              <w:t>P</w:t>
            </w:r>
            <w:r w:rsidRPr="00BC4F7A">
              <w:rPr>
                <w:szCs w:val="24"/>
              </w:rPr>
              <w:t xml:space="preserve">ay </w:t>
            </w:r>
            <w:r w:rsidR="0049360E">
              <w:rPr>
                <w:szCs w:val="24"/>
              </w:rPr>
              <w:t>R</w:t>
            </w:r>
            <w:r w:rsidRPr="00BC4F7A">
              <w:rPr>
                <w:szCs w:val="24"/>
              </w:rPr>
              <w:t xml:space="preserve">ecipients </w:t>
            </w:r>
            <w:r w:rsidR="0049360E">
              <w:rPr>
                <w:szCs w:val="24"/>
              </w:rPr>
              <w:t>W</w:t>
            </w:r>
            <w:r w:rsidRPr="00BC4F7A">
              <w:rPr>
                <w:szCs w:val="24"/>
              </w:rPr>
              <w:t xml:space="preserve">ho </w:t>
            </w:r>
            <w:r w:rsidR="0049360E">
              <w:rPr>
                <w:szCs w:val="24"/>
              </w:rPr>
              <w:t>A</w:t>
            </w:r>
            <w:r w:rsidRPr="00BC4F7A">
              <w:rPr>
                <w:szCs w:val="24"/>
              </w:rPr>
              <w:t>re Male</w:t>
            </w:r>
          </w:p>
        </w:tc>
        <w:tc>
          <w:tcPr>
            <w:tcW w:w="562" w:type="pct"/>
            <w:tcBorders>
              <w:left w:val="single" w:sz="4" w:space="0" w:color="auto"/>
              <w:right w:val="single" w:sz="4" w:space="0" w:color="auto"/>
            </w:tcBorders>
            <w:shd w:val="clear" w:color="auto" w:fill="auto"/>
          </w:tcPr>
          <w:p w:rsidR="002E3649" w:rsidRPr="00BC4F7A" w:rsidRDefault="002E3649" w:rsidP="002E3649">
            <w:pPr>
              <w:jc w:val="center"/>
              <w:rPr>
                <w:szCs w:val="24"/>
              </w:rPr>
            </w:pPr>
            <w:r w:rsidRPr="00BC4F7A">
              <w:rPr>
                <w:szCs w:val="24"/>
              </w:rPr>
              <w:t>57.58</w:t>
            </w:r>
          </w:p>
        </w:tc>
        <w:tc>
          <w:tcPr>
            <w:tcW w:w="562" w:type="pct"/>
            <w:tcBorders>
              <w:right w:val="single" w:sz="4" w:space="0" w:color="auto"/>
            </w:tcBorders>
            <w:shd w:val="clear" w:color="auto" w:fill="auto"/>
          </w:tcPr>
          <w:p w:rsidR="002E3649" w:rsidRPr="00BC4F7A" w:rsidRDefault="002E3649" w:rsidP="002E3649">
            <w:pPr>
              <w:jc w:val="center"/>
              <w:rPr>
                <w:szCs w:val="24"/>
              </w:rPr>
            </w:pPr>
            <w:r>
              <w:rPr>
                <w:szCs w:val="24"/>
              </w:rPr>
              <w:t>85.45</w:t>
            </w:r>
          </w:p>
        </w:tc>
        <w:tc>
          <w:tcPr>
            <w:tcW w:w="562" w:type="pct"/>
            <w:tcBorders>
              <w:right w:val="single" w:sz="4" w:space="0" w:color="auto"/>
            </w:tcBorders>
            <w:shd w:val="clear" w:color="auto" w:fill="auto"/>
          </w:tcPr>
          <w:p w:rsidR="002E3649" w:rsidRPr="00576140" w:rsidRDefault="006B259B" w:rsidP="002E3649">
            <w:pPr>
              <w:jc w:val="center"/>
              <w:rPr>
                <w:szCs w:val="24"/>
              </w:rPr>
            </w:pPr>
            <w:r>
              <w:rPr>
                <w:szCs w:val="24"/>
              </w:rPr>
              <w:t>81.63</w:t>
            </w:r>
          </w:p>
        </w:tc>
        <w:tc>
          <w:tcPr>
            <w:tcW w:w="318" w:type="pct"/>
            <w:tcBorders>
              <w:left w:val="single" w:sz="4" w:space="0" w:color="auto"/>
              <w:right w:val="single" w:sz="4" w:space="0" w:color="auto"/>
            </w:tcBorders>
            <w:shd w:val="clear" w:color="auto" w:fill="auto"/>
          </w:tcPr>
          <w:p w:rsidR="002E3649" w:rsidRPr="00370FBA" w:rsidRDefault="00522549" w:rsidP="002E3649">
            <w:pPr>
              <w:jc w:val="center"/>
              <w:rPr>
                <w:szCs w:val="24"/>
              </w:rPr>
            </w:pPr>
            <w:r w:rsidRPr="00370FBA">
              <w:rPr>
                <w:rFonts w:cstheme="minorHAnsi"/>
                <w:szCs w:val="24"/>
              </w:rPr>
              <w:t>↓</w:t>
            </w:r>
          </w:p>
        </w:tc>
      </w:tr>
      <w:tr w:rsidR="002E3649" w:rsidRPr="00BC4F7A" w:rsidTr="002E3649">
        <w:tc>
          <w:tcPr>
            <w:tcW w:w="2995" w:type="pct"/>
            <w:tcBorders>
              <w:top w:val="single" w:sz="12" w:space="0" w:color="auto"/>
            </w:tcBorders>
          </w:tcPr>
          <w:p w:rsidR="002E3649" w:rsidRPr="00BC4F7A" w:rsidRDefault="002E3649" w:rsidP="002E3649">
            <w:pPr>
              <w:rPr>
                <w:szCs w:val="24"/>
              </w:rPr>
            </w:pPr>
            <w:r w:rsidRPr="00BC4F7A">
              <w:rPr>
                <w:szCs w:val="24"/>
              </w:rPr>
              <w:t>Quartile 1 % Female</w:t>
            </w:r>
          </w:p>
        </w:tc>
        <w:tc>
          <w:tcPr>
            <w:tcW w:w="562" w:type="pct"/>
            <w:tcBorders>
              <w:top w:val="single" w:sz="12" w:space="0" w:color="auto"/>
              <w:left w:val="single" w:sz="4" w:space="0" w:color="auto"/>
              <w:right w:val="single" w:sz="4" w:space="0" w:color="auto"/>
            </w:tcBorders>
            <w:shd w:val="clear" w:color="auto" w:fill="auto"/>
          </w:tcPr>
          <w:p w:rsidR="002E3649" w:rsidRPr="00BC4F7A" w:rsidRDefault="002E3649" w:rsidP="002E3649">
            <w:pPr>
              <w:jc w:val="center"/>
              <w:rPr>
                <w:szCs w:val="24"/>
              </w:rPr>
            </w:pPr>
            <w:r w:rsidRPr="00BC4F7A">
              <w:rPr>
                <w:szCs w:val="24"/>
              </w:rPr>
              <w:t>68.84</w:t>
            </w:r>
          </w:p>
        </w:tc>
        <w:tc>
          <w:tcPr>
            <w:tcW w:w="562" w:type="pct"/>
            <w:tcBorders>
              <w:top w:val="single" w:sz="12" w:space="0" w:color="auto"/>
              <w:right w:val="single" w:sz="4" w:space="0" w:color="auto"/>
            </w:tcBorders>
          </w:tcPr>
          <w:p w:rsidR="002E3649" w:rsidRPr="00BC4F7A" w:rsidRDefault="002E3649" w:rsidP="002E3649">
            <w:pPr>
              <w:jc w:val="center"/>
              <w:rPr>
                <w:szCs w:val="24"/>
              </w:rPr>
            </w:pPr>
            <w:r>
              <w:rPr>
                <w:szCs w:val="24"/>
              </w:rPr>
              <w:t>70.01</w:t>
            </w:r>
          </w:p>
        </w:tc>
        <w:tc>
          <w:tcPr>
            <w:tcW w:w="562" w:type="pct"/>
            <w:tcBorders>
              <w:top w:val="single" w:sz="12" w:space="0" w:color="auto"/>
              <w:right w:val="single" w:sz="4" w:space="0" w:color="auto"/>
            </w:tcBorders>
          </w:tcPr>
          <w:p w:rsidR="002E3649" w:rsidRPr="00576140" w:rsidRDefault="001B5D7B" w:rsidP="002E3649">
            <w:pPr>
              <w:jc w:val="center"/>
              <w:rPr>
                <w:szCs w:val="24"/>
              </w:rPr>
            </w:pPr>
            <w:r>
              <w:rPr>
                <w:szCs w:val="24"/>
              </w:rPr>
              <w:t>69.3</w:t>
            </w:r>
            <w:r w:rsidR="00261001">
              <w:rPr>
                <w:szCs w:val="24"/>
              </w:rPr>
              <w:t>1</w:t>
            </w:r>
          </w:p>
        </w:tc>
        <w:tc>
          <w:tcPr>
            <w:tcW w:w="318" w:type="pct"/>
            <w:tcBorders>
              <w:top w:val="single" w:sz="12" w:space="0" w:color="auto"/>
              <w:left w:val="single" w:sz="4" w:space="0" w:color="auto"/>
              <w:right w:val="single" w:sz="4" w:space="0" w:color="auto"/>
            </w:tcBorders>
            <w:shd w:val="clear" w:color="auto" w:fill="auto"/>
          </w:tcPr>
          <w:p w:rsidR="002E3649" w:rsidRPr="00370FBA" w:rsidRDefault="00522549" w:rsidP="002E3649">
            <w:pPr>
              <w:jc w:val="center"/>
              <w:rPr>
                <w:szCs w:val="24"/>
              </w:rPr>
            </w:pPr>
            <w:r w:rsidRPr="00370FBA">
              <w:rPr>
                <w:rFonts w:cstheme="minorHAnsi"/>
                <w:szCs w:val="24"/>
              </w:rPr>
              <w:t>↓</w:t>
            </w:r>
          </w:p>
        </w:tc>
      </w:tr>
      <w:tr w:rsidR="002E3649" w:rsidRPr="00BC4F7A" w:rsidTr="002E3649">
        <w:tc>
          <w:tcPr>
            <w:tcW w:w="2995" w:type="pct"/>
          </w:tcPr>
          <w:p w:rsidR="002E3649" w:rsidRPr="00BC4F7A" w:rsidRDefault="002E3649" w:rsidP="002E3649">
            <w:pPr>
              <w:rPr>
                <w:szCs w:val="24"/>
              </w:rPr>
            </w:pPr>
            <w:r w:rsidRPr="00BC4F7A">
              <w:rPr>
                <w:szCs w:val="24"/>
              </w:rPr>
              <w:t>Quartile 2 % Female</w:t>
            </w:r>
          </w:p>
        </w:tc>
        <w:tc>
          <w:tcPr>
            <w:tcW w:w="562" w:type="pct"/>
            <w:tcBorders>
              <w:left w:val="single" w:sz="4" w:space="0" w:color="auto"/>
              <w:right w:val="single" w:sz="4" w:space="0" w:color="auto"/>
            </w:tcBorders>
            <w:shd w:val="clear" w:color="auto" w:fill="auto"/>
          </w:tcPr>
          <w:p w:rsidR="002E3649" w:rsidRPr="00BC4F7A" w:rsidRDefault="002E3649" w:rsidP="002E3649">
            <w:pPr>
              <w:jc w:val="center"/>
              <w:rPr>
                <w:szCs w:val="24"/>
              </w:rPr>
            </w:pPr>
            <w:r w:rsidRPr="00BC4F7A">
              <w:rPr>
                <w:szCs w:val="24"/>
              </w:rPr>
              <w:t>62.40</w:t>
            </w:r>
          </w:p>
        </w:tc>
        <w:tc>
          <w:tcPr>
            <w:tcW w:w="562" w:type="pct"/>
            <w:tcBorders>
              <w:right w:val="single" w:sz="4" w:space="0" w:color="auto"/>
            </w:tcBorders>
          </w:tcPr>
          <w:p w:rsidR="002E3649" w:rsidRPr="00BC4F7A" w:rsidRDefault="002E3649" w:rsidP="002E3649">
            <w:pPr>
              <w:jc w:val="center"/>
              <w:rPr>
                <w:szCs w:val="24"/>
              </w:rPr>
            </w:pPr>
            <w:r>
              <w:rPr>
                <w:szCs w:val="24"/>
              </w:rPr>
              <w:t>61.10</w:t>
            </w:r>
          </w:p>
        </w:tc>
        <w:tc>
          <w:tcPr>
            <w:tcW w:w="562" w:type="pct"/>
            <w:tcBorders>
              <w:right w:val="single" w:sz="4" w:space="0" w:color="auto"/>
            </w:tcBorders>
          </w:tcPr>
          <w:p w:rsidR="002E3649" w:rsidRPr="00576140" w:rsidRDefault="00261001" w:rsidP="002E3649">
            <w:pPr>
              <w:jc w:val="center"/>
              <w:rPr>
                <w:szCs w:val="24"/>
              </w:rPr>
            </w:pPr>
            <w:r>
              <w:rPr>
                <w:szCs w:val="24"/>
              </w:rPr>
              <w:t>63.05</w:t>
            </w:r>
          </w:p>
        </w:tc>
        <w:tc>
          <w:tcPr>
            <w:tcW w:w="318" w:type="pct"/>
            <w:tcBorders>
              <w:left w:val="single" w:sz="4" w:space="0" w:color="auto"/>
              <w:right w:val="single" w:sz="4" w:space="0" w:color="auto"/>
            </w:tcBorders>
            <w:shd w:val="clear" w:color="auto" w:fill="auto"/>
          </w:tcPr>
          <w:p w:rsidR="002E3649" w:rsidRPr="00370FBA" w:rsidRDefault="00522549" w:rsidP="002E3649">
            <w:pPr>
              <w:jc w:val="center"/>
              <w:rPr>
                <w:szCs w:val="24"/>
              </w:rPr>
            </w:pPr>
            <w:r w:rsidRPr="00370FBA">
              <w:rPr>
                <w:szCs w:val="24"/>
              </w:rPr>
              <w:t>↑</w:t>
            </w:r>
          </w:p>
        </w:tc>
      </w:tr>
      <w:tr w:rsidR="002E3649" w:rsidRPr="00BC4F7A" w:rsidTr="002E3649">
        <w:tc>
          <w:tcPr>
            <w:tcW w:w="2995" w:type="pct"/>
          </w:tcPr>
          <w:p w:rsidR="002E3649" w:rsidRPr="00BC4F7A" w:rsidRDefault="002E3649" w:rsidP="002E3649">
            <w:pPr>
              <w:rPr>
                <w:szCs w:val="24"/>
              </w:rPr>
            </w:pPr>
            <w:r w:rsidRPr="00BC4F7A">
              <w:rPr>
                <w:szCs w:val="24"/>
              </w:rPr>
              <w:t>Quartile 3 % Female</w:t>
            </w:r>
          </w:p>
        </w:tc>
        <w:tc>
          <w:tcPr>
            <w:tcW w:w="562" w:type="pct"/>
            <w:tcBorders>
              <w:left w:val="single" w:sz="4" w:space="0" w:color="auto"/>
              <w:right w:val="single" w:sz="4" w:space="0" w:color="auto"/>
            </w:tcBorders>
            <w:shd w:val="clear" w:color="auto" w:fill="auto"/>
          </w:tcPr>
          <w:p w:rsidR="002E3649" w:rsidRPr="00BC4F7A" w:rsidRDefault="002E3649" w:rsidP="002E3649">
            <w:pPr>
              <w:jc w:val="center"/>
              <w:rPr>
                <w:szCs w:val="24"/>
              </w:rPr>
            </w:pPr>
            <w:r w:rsidRPr="00BC4F7A">
              <w:rPr>
                <w:szCs w:val="24"/>
              </w:rPr>
              <w:t>48.77</w:t>
            </w:r>
          </w:p>
        </w:tc>
        <w:tc>
          <w:tcPr>
            <w:tcW w:w="562" w:type="pct"/>
            <w:tcBorders>
              <w:right w:val="single" w:sz="4" w:space="0" w:color="auto"/>
            </w:tcBorders>
          </w:tcPr>
          <w:p w:rsidR="002E3649" w:rsidRPr="00BC4F7A" w:rsidRDefault="002E3649" w:rsidP="002E3649">
            <w:pPr>
              <w:jc w:val="center"/>
              <w:rPr>
                <w:szCs w:val="24"/>
              </w:rPr>
            </w:pPr>
            <w:r>
              <w:rPr>
                <w:rFonts w:cstheme="minorHAnsi"/>
                <w:szCs w:val="24"/>
              </w:rPr>
              <w:t>49.72</w:t>
            </w:r>
          </w:p>
        </w:tc>
        <w:tc>
          <w:tcPr>
            <w:tcW w:w="562" w:type="pct"/>
            <w:tcBorders>
              <w:right w:val="single" w:sz="4" w:space="0" w:color="auto"/>
            </w:tcBorders>
          </w:tcPr>
          <w:p w:rsidR="002E3649" w:rsidRPr="00576140" w:rsidRDefault="00261001" w:rsidP="002E3649">
            <w:pPr>
              <w:jc w:val="center"/>
              <w:rPr>
                <w:rFonts w:cstheme="minorHAnsi"/>
                <w:szCs w:val="24"/>
              </w:rPr>
            </w:pPr>
            <w:r>
              <w:rPr>
                <w:rFonts w:cstheme="minorHAnsi"/>
                <w:szCs w:val="24"/>
              </w:rPr>
              <w:t>50.89</w:t>
            </w:r>
          </w:p>
        </w:tc>
        <w:tc>
          <w:tcPr>
            <w:tcW w:w="318" w:type="pct"/>
            <w:tcBorders>
              <w:left w:val="single" w:sz="4" w:space="0" w:color="auto"/>
              <w:right w:val="single" w:sz="4" w:space="0" w:color="auto"/>
            </w:tcBorders>
            <w:shd w:val="clear" w:color="auto" w:fill="auto"/>
          </w:tcPr>
          <w:p w:rsidR="002E3649" w:rsidRPr="00370FBA" w:rsidRDefault="002E3649" w:rsidP="002E3649">
            <w:pPr>
              <w:jc w:val="center"/>
              <w:rPr>
                <w:szCs w:val="24"/>
              </w:rPr>
            </w:pPr>
            <w:r w:rsidRPr="00370FBA">
              <w:rPr>
                <w:szCs w:val="24"/>
              </w:rPr>
              <w:t>↑</w:t>
            </w:r>
          </w:p>
        </w:tc>
      </w:tr>
      <w:tr w:rsidR="002E3649" w:rsidRPr="00BC4F7A" w:rsidTr="002E3649">
        <w:tc>
          <w:tcPr>
            <w:tcW w:w="2995" w:type="pct"/>
            <w:tcBorders>
              <w:bottom w:val="single" w:sz="12" w:space="0" w:color="auto"/>
            </w:tcBorders>
          </w:tcPr>
          <w:p w:rsidR="002E3649" w:rsidRPr="00BC4F7A" w:rsidRDefault="002E3649" w:rsidP="002E3649">
            <w:pPr>
              <w:rPr>
                <w:szCs w:val="24"/>
              </w:rPr>
            </w:pPr>
            <w:r w:rsidRPr="00BC4F7A">
              <w:rPr>
                <w:szCs w:val="24"/>
              </w:rPr>
              <w:t>Quartile 4 % Female</w:t>
            </w:r>
          </w:p>
        </w:tc>
        <w:tc>
          <w:tcPr>
            <w:tcW w:w="562" w:type="pct"/>
            <w:tcBorders>
              <w:left w:val="single" w:sz="4" w:space="0" w:color="auto"/>
              <w:bottom w:val="single" w:sz="12" w:space="0" w:color="auto"/>
              <w:right w:val="single" w:sz="4" w:space="0" w:color="auto"/>
            </w:tcBorders>
            <w:shd w:val="clear" w:color="auto" w:fill="auto"/>
          </w:tcPr>
          <w:p w:rsidR="002E3649" w:rsidRPr="00BC4F7A" w:rsidRDefault="002E3649" w:rsidP="002E3649">
            <w:pPr>
              <w:jc w:val="center"/>
              <w:rPr>
                <w:szCs w:val="24"/>
              </w:rPr>
            </w:pPr>
            <w:r w:rsidRPr="00BC4F7A">
              <w:rPr>
                <w:szCs w:val="24"/>
              </w:rPr>
              <w:t>40.79</w:t>
            </w:r>
          </w:p>
        </w:tc>
        <w:tc>
          <w:tcPr>
            <w:tcW w:w="562" w:type="pct"/>
            <w:tcBorders>
              <w:bottom w:val="single" w:sz="12" w:space="0" w:color="auto"/>
              <w:right w:val="single" w:sz="4" w:space="0" w:color="auto"/>
            </w:tcBorders>
          </w:tcPr>
          <w:p w:rsidR="002E3649" w:rsidRPr="00BC4F7A" w:rsidRDefault="002E3649" w:rsidP="002E3649">
            <w:pPr>
              <w:jc w:val="center"/>
              <w:rPr>
                <w:szCs w:val="24"/>
              </w:rPr>
            </w:pPr>
            <w:r>
              <w:rPr>
                <w:szCs w:val="24"/>
              </w:rPr>
              <w:t>41.46</w:t>
            </w:r>
          </w:p>
        </w:tc>
        <w:tc>
          <w:tcPr>
            <w:tcW w:w="562" w:type="pct"/>
            <w:tcBorders>
              <w:bottom w:val="single" w:sz="12" w:space="0" w:color="auto"/>
              <w:right w:val="single" w:sz="4" w:space="0" w:color="auto"/>
            </w:tcBorders>
          </w:tcPr>
          <w:p w:rsidR="002E3649" w:rsidRPr="00576140" w:rsidRDefault="00261001" w:rsidP="002E3649">
            <w:pPr>
              <w:jc w:val="center"/>
              <w:rPr>
                <w:szCs w:val="24"/>
              </w:rPr>
            </w:pPr>
            <w:r>
              <w:rPr>
                <w:szCs w:val="24"/>
              </w:rPr>
              <w:t>41.25</w:t>
            </w:r>
          </w:p>
        </w:tc>
        <w:tc>
          <w:tcPr>
            <w:tcW w:w="318" w:type="pct"/>
            <w:tcBorders>
              <w:left w:val="single" w:sz="4" w:space="0" w:color="auto"/>
              <w:bottom w:val="single" w:sz="12" w:space="0" w:color="auto"/>
              <w:right w:val="single" w:sz="4" w:space="0" w:color="auto"/>
            </w:tcBorders>
            <w:shd w:val="clear" w:color="auto" w:fill="auto"/>
          </w:tcPr>
          <w:p w:rsidR="002E3649" w:rsidRPr="00370FBA" w:rsidRDefault="00522549" w:rsidP="002E3649">
            <w:pPr>
              <w:jc w:val="center"/>
              <w:rPr>
                <w:szCs w:val="24"/>
              </w:rPr>
            </w:pPr>
            <w:r w:rsidRPr="00370FBA">
              <w:rPr>
                <w:rFonts w:cstheme="minorHAnsi"/>
                <w:szCs w:val="24"/>
              </w:rPr>
              <w:t>↓</w:t>
            </w:r>
          </w:p>
        </w:tc>
      </w:tr>
    </w:tbl>
    <w:p w:rsidR="00E260FF" w:rsidRDefault="00E260FF" w:rsidP="00FC4BC5">
      <w:pPr>
        <w:ind w:left="720"/>
        <w:contextualSpacing/>
        <w:rPr>
          <w:b/>
        </w:rPr>
      </w:pPr>
    </w:p>
    <w:p w:rsidR="00747866" w:rsidRDefault="00747866" w:rsidP="00747866">
      <w:pPr>
        <w:keepNext/>
      </w:pPr>
      <w:r>
        <w:rPr>
          <w:noProof/>
        </w:rPr>
        <w:lastRenderedPageBreak/>
        <w:drawing>
          <wp:inline distT="0" distB="0" distL="0" distR="0" wp14:anchorId="69009C34" wp14:editId="57755D51">
            <wp:extent cx="5760000" cy="2880000"/>
            <wp:effectExtent l="0" t="0" r="12700" b="15875"/>
            <wp:docPr id="21" name="Chart 2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47866" w:rsidRDefault="00747866" w:rsidP="00747866">
      <w:pPr>
        <w:pStyle w:val="Caption"/>
        <w:spacing w:before="200"/>
        <w:rPr>
          <w:bCs/>
          <w:i w:val="0"/>
          <w:color w:val="auto"/>
        </w:rPr>
      </w:pPr>
      <w:bookmarkStart w:id="13" w:name="_Toc118197713"/>
      <w:r w:rsidRPr="00B72929">
        <w:rPr>
          <w:i w:val="0"/>
          <w:color w:val="auto"/>
        </w:rPr>
        <w:t xml:space="preserve">Figure </w:t>
      </w:r>
      <w:r w:rsidR="005541EA">
        <w:rPr>
          <w:i w:val="0"/>
          <w:color w:val="auto"/>
        </w:rPr>
        <w:t>1</w:t>
      </w:r>
      <w:r>
        <w:rPr>
          <w:i w:val="0"/>
          <w:color w:val="auto"/>
        </w:rPr>
        <w:t>:</w:t>
      </w:r>
      <w:r w:rsidRPr="00B72929">
        <w:rPr>
          <w:i w:val="0"/>
          <w:color w:val="auto"/>
        </w:rPr>
        <w:t xml:space="preserve"> </w:t>
      </w:r>
      <w:r>
        <w:rPr>
          <w:i w:val="0"/>
          <w:color w:val="auto"/>
        </w:rPr>
        <w:t xml:space="preserve">FPRE </w:t>
      </w:r>
      <w:r w:rsidRPr="00B72929">
        <w:rPr>
          <w:bCs/>
          <w:i w:val="0"/>
          <w:color w:val="auto"/>
        </w:rPr>
        <w:t>Gender Population by Grade 202</w:t>
      </w:r>
      <w:r>
        <w:rPr>
          <w:bCs/>
          <w:i w:val="0"/>
          <w:color w:val="auto"/>
        </w:rPr>
        <w:t>2</w:t>
      </w:r>
      <w:bookmarkEnd w:id="13"/>
    </w:p>
    <w:p w:rsidR="00747866" w:rsidRDefault="00747866" w:rsidP="00747866">
      <w:pPr>
        <w:keepNext/>
      </w:pPr>
      <w:r>
        <w:rPr>
          <w:noProof/>
        </w:rPr>
        <w:drawing>
          <wp:inline distT="0" distB="0" distL="0" distR="0" wp14:anchorId="08F2D33A" wp14:editId="669E1163">
            <wp:extent cx="5760000" cy="3240000"/>
            <wp:effectExtent l="0" t="0" r="12700" b="17780"/>
            <wp:docPr id="26" name="Chart 26">
              <a:extLst xmlns:a="http://schemas.openxmlformats.org/drawingml/2006/main">
                <a:ext uri="{FF2B5EF4-FFF2-40B4-BE49-F238E27FC236}">
                  <a16:creationId xmlns:a16="http://schemas.microsoft.com/office/drawing/2014/main" id="{56E461B8-B516-4C52-8D79-B2EF3AA7BD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47866" w:rsidRPr="00B72929" w:rsidRDefault="00747866" w:rsidP="00747866">
      <w:pPr>
        <w:pStyle w:val="Caption"/>
        <w:spacing w:before="200"/>
        <w:rPr>
          <w:i w:val="0"/>
          <w:color w:val="auto"/>
        </w:rPr>
      </w:pPr>
      <w:bookmarkStart w:id="14" w:name="_Toc118197715"/>
      <w:bookmarkStart w:id="15" w:name="_Ref118799460"/>
      <w:r w:rsidRPr="00B72929">
        <w:rPr>
          <w:i w:val="0"/>
          <w:color w:val="auto"/>
        </w:rPr>
        <w:t xml:space="preserve">Figure </w:t>
      </w:r>
      <w:r w:rsidR="005541EA">
        <w:rPr>
          <w:i w:val="0"/>
          <w:color w:val="auto"/>
        </w:rPr>
        <w:t>2</w:t>
      </w:r>
      <w:r w:rsidRPr="00B72929">
        <w:rPr>
          <w:i w:val="0"/>
          <w:color w:val="auto"/>
        </w:rPr>
        <w:t xml:space="preserve">: </w:t>
      </w:r>
      <w:r w:rsidRPr="00B72929">
        <w:rPr>
          <w:bCs/>
          <w:i w:val="0"/>
          <w:color w:val="auto"/>
        </w:rPr>
        <w:t>Gender % by Job Group 202</w:t>
      </w:r>
      <w:r>
        <w:rPr>
          <w:bCs/>
          <w:i w:val="0"/>
          <w:color w:val="auto"/>
        </w:rPr>
        <w:t>2</w:t>
      </w:r>
      <w:bookmarkEnd w:id="14"/>
      <w:bookmarkEnd w:id="15"/>
    </w:p>
    <w:p w:rsidR="00725FDB" w:rsidRPr="009837ED" w:rsidRDefault="00725FDB" w:rsidP="009837ED">
      <w:r>
        <w:t>Please see section 2 ‘</w:t>
      </w:r>
      <w:r w:rsidRPr="00725FDB">
        <w:t>Executive Summary</w:t>
      </w:r>
      <w:r>
        <w:t xml:space="preserve">’ for a summary of key observations and causes of the gender pay gap. </w:t>
      </w:r>
    </w:p>
    <w:p w:rsidR="00DD3F7E" w:rsidRDefault="00DD3F7E" w:rsidP="00A55CA4">
      <w:pPr>
        <w:pStyle w:val="Caption"/>
      </w:pPr>
    </w:p>
    <w:p w:rsidR="00A55CA4" w:rsidRDefault="00A55CA4" w:rsidP="00A55CA4"/>
    <w:p w:rsidR="00A55CA4" w:rsidRDefault="00A55CA4" w:rsidP="00A55CA4"/>
    <w:p w:rsidR="00A55CA4" w:rsidRPr="00AC7373" w:rsidRDefault="00A55CA4" w:rsidP="00AC7373"/>
    <w:p w:rsidR="00BB5531" w:rsidRPr="00BB5531" w:rsidRDefault="00BB5531" w:rsidP="00D1110D">
      <w:pPr>
        <w:pStyle w:val="Heading1"/>
        <w:numPr>
          <w:ilvl w:val="0"/>
          <w:numId w:val="6"/>
        </w:numPr>
        <w:shd w:val="clear" w:color="auto" w:fill="D9E2F3" w:themeFill="accent5" w:themeFillTint="33"/>
      </w:pPr>
      <w:bookmarkStart w:id="16" w:name="_Toc125731582"/>
      <w:r w:rsidRPr="00BB5531">
        <w:lastRenderedPageBreak/>
        <w:t>Ethnicity Pay Gap</w:t>
      </w:r>
      <w:bookmarkEnd w:id="16"/>
      <w:r w:rsidRPr="00BB5531">
        <w:t xml:space="preserve"> </w:t>
      </w:r>
    </w:p>
    <w:p w:rsidR="0041777A" w:rsidRDefault="0041777A" w:rsidP="006113B3">
      <w:r>
        <w:t>For the purposes of this report the term BAME</w:t>
      </w:r>
      <w:r w:rsidR="00716E38">
        <w:t>+</w:t>
      </w:r>
      <w:r>
        <w:t xml:space="preserve"> refers to all ethnic groups exclu</w:t>
      </w:r>
      <w:r w:rsidR="001109C6">
        <w:t xml:space="preserve">ding White British. The term </w:t>
      </w:r>
      <w:r w:rsidR="0073739F">
        <w:t>‘</w:t>
      </w:r>
      <w:r w:rsidR="001109C6">
        <w:t>People of Colour</w:t>
      </w:r>
      <w:r w:rsidR="0073739F">
        <w:t>’</w:t>
      </w:r>
      <w:r w:rsidR="00A131BD">
        <w:t xml:space="preserve"> (P</w:t>
      </w:r>
      <w:r w:rsidR="008D3ED5">
        <w:t>O</w:t>
      </w:r>
      <w:r w:rsidR="00A131BD">
        <w:t>C</w:t>
      </w:r>
      <w:r w:rsidR="001109C6">
        <w:t>)</w:t>
      </w:r>
      <w:r>
        <w:t xml:space="preserve"> refers to all ethnic groups </w:t>
      </w:r>
      <w:r w:rsidR="00770E58">
        <w:t>with the exception of</w:t>
      </w:r>
      <w:r>
        <w:t xml:space="preserve"> </w:t>
      </w:r>
      <w:r w:rsidR="00B14622">
        <w:t xml:space="preserve">the </w:t>
      </w:r>
      <w:r w:rsidR="00770E58">
        <w:t>‘</w:t>
      </w:r>
      <w:r>
        <w:t>White</w:t>
      </w:r>
      <w:r w:rsidR="00770E58">
        <w:t xml:space="preserve">’ category which includes </w:t>
      </w:r>
      <w:r>
        <w:t xml:space="preserve">White British, White Irish, White Other, </w:t>
      </w:r>
      <w:r w:rsidR="00770E58">
        <w:t xml:space="preserve">and </w:t>
      </w:r>
      <w:r w:rsidR="00CC04D8">
        <w:t>Gypsy</w:t>
      </w:r>
      <w:r w:rsidR="001109C6">
        <w:t>/Traveller</w:t>
      </w:r>
      <w:r w:rsidR="00A131BD">
        <w:t>.</w:t>
      </w:r>
    </w:p>
    <w:p w:rsidR="0041777A" w:rsidRDefault="00B20219" w:rsidP="00653777">
      <w:r>
        <w:t>520</w:t>
      </w:r>
      <w:r w:rsidR="00653E03">
        <w:t xml:space="preserve"> </w:t>
      </w:r>
      <w:r w:rsidR="00FA6A20">
        <w:t>(</w:t>
      </w:r>
      <w:r>
        <w:t>7.5</w:t>
      </w:r>
      <w:r w:rsidR="00FA6A20">
        <w:t xml:space="preserve">%) </w:t>
      </w:r>
      <w:r w:rsidR="00653E03">
        <w:t xml:space="preserve">full pay relevant employees had </w:t>
      </w:r>
      <w:r w:rsidR="0072671F">
        <w:t>an</w:t>
      </w:r>
      <w:r w:rsidR="00653E03">
        <w:t xml:space="preserve"> </w:t>
      </w:r>
      <w:r w:rsidR="0041777A">
        <w:t>Unknown/</w:t>
      </w:r>
      <w:r w:rsidR="008F0DCB">
        <w:t>Undisclosed</w:t>
      </w:r>
      <w:r w:rsidR="0041777A">
        <w:t xml:space="preserve"> </w:t>
      </w:r>
      <w:r w:rsidR="00653E03">
        <w:t xml:space="preserve">ethnicity and are therefore </w:t>
      </w:r>
      <w:r w:rsidR="0041777A">
        <w:t>excluded from the calculation.</w:t>
      </w:r>
    </w:p>
    <w:p w:rsidR="00770E58" w:rsidRDefault="00770E58" w:rsidP="009942E5">
      <w:pPr>
        <w:pStyle w:val="Heading2"/>
        <w:numPr>
          <w:ilvl w:val="1"/>
          <w:numId w:val="6"/>
        </w:numPr>
      </w:pPr>
      <w:bookmarkStart w:id="17" w:name="_Toc125731583"/>
      <w:r w:rsidRPr="00770E58">
        <w:t>BAME</w:t>
      </w:r>
      <w:r w:rsidR="00306C4B">
        <w:t>+</w:t>
      </w:r>
      <w:r w:rsidRPr="00770E58">
        <w:t xml:space="preserve"> Pay Gap</w:t>
      </w:r>
      <w:bookmarkEnd w:id="17"/>
    </w:p>
    <w:p w:rsidR="00472AEB" w:rsidRDefault="004440BA" w:rsidP="00472AEB">
      <w:r>
        <w:t xml:space="preserve">A </w:t>
      </w:r>
      <w:r w:rsidRPr="008D455D">
        <w:t xml:space="preserve">positive </w:t>
      </w:r>
      <w:r w:rsidRPr="004440BA">
        <w:rPr>
          <w:b/>
        </w:rPr>
        <w:t xml:space="preserve">black </w:t>
      </w:r>
      <w:r w:rsidRPr="00D366C0">
        <w:t>number</w:t>
      </w:r>
      <w:r>
        <w:t xml:space="preserve">, </w:t>
      </w:r>
      <w:r w:rsidRPr="008D455D">
        <w:t xml:space="preserve">means that there is a pay gap in favour of </w:t>
      </w:r>
      <w:r>
        <w:t>the White British group</w:t>
      </w:r>
      <w:r w:rsidRPr="008D455D">
        <w:t>, where</w:t>
      </w:r>
      <w:r>
        <w:t>as</w:t>
      </w:r>
      <w:r w:rsidRPr="008D455D">
        <w:t xml:space="preserve"> a negative </w:t>
      </w:r>
      <w:r w:rsidRPr="004440BA">
        <w:rPr>
          <w:b/>
          <w:color w:val="FF0000"/>
        </w:rPr>
        <w:t xml:space="preserve">red </w:t>
      </w:r>
      <w:r w:rsidRPr="00D366C0">
        <w:t xml:space="preserve">number </w:t>
      </w:r>
      <w:r w:rsidRPr="008D455D">
        <w:t xml:space="preserve">means that there is a pay gap in favour of </w:t>
      </w:r>
      <w:r>
        <w:t>the BAME group.</w:t>
      </w:r>
      <w:r w:rsidR="00D961C5">
        <w:t xml:space="preserve"> </w:t>
      </w:r>
      <w:r w:rsidR="00472AEB">
        <w:t xml:space="preserve">As mentioned previously, a </w:t>
      </w:r>
      <w:r w:rsidR="00472AEB" w:rsidRPr="00370FBA">
        <w:rPr>
          <w:b/>
          <w:color w:val="00B050"/>
        </w:rPr>
        <w:t>green</w:t>
      </w:r>
      <w:r w:rsidR="00472AEB" w:rsidRPr="00370FBA">
        <w:rPr>
          <w:color w:val="00B050"/>
        </w:rPr>
        <w:t xml:space="preserve"> </w:t>
      </w:r>
      <w:r w:rsidR="00472AEB" w:rsidRPr="001E17C7">
        <w:t xml:space="preserve">arrow </w:t>
      </w:r>
      <w:r w:rsidR="00472AEB">
        <w:t xml:space="preserve">indicates a positive change to reduce the pay gap, a </w:t>
      </w:r>
      <w:r w:rsidR="00472AEB" w:rsidRPr="00370FBA">
        <w:rPr>
          <w:b/>
          <w:color w:val="FF0000"/>
        </w:rPr>
        <w:t>red</w:t>
      </w:r>
      <w:r w:rsidR="00472AEB" w:rsidRPr="00370FBA">
        <w:rPr>
          <w:color w:val="FF0000"/>
        </w:rPr>
        <w:t xml:space="preserve"> </w:t>
      </w:r>
      <w:r w:rsidR="00472AEB">
        <w:t xml:space="preserve">arrow indicates a negative change, and a </w:t>
      </w:r>
      <w:r w:rsidR="00472AEB" w:rsidRPr="00370FBA">
        <w:rPr>
          <w:b/>
        </w:rPr>
        <w:t>black</w:t>
      </w:r>
      <w:r w:rsidR="00472AEB">
        <w:t xml:space="preserve"> arrow indicates a change that is not deemed to be positive or negative.</w:t>
      </w:r>
    </w:p>
    <w:p w:rsidR="00653E03" w:rsidRPr="00B20219" w:rsidRDefault="00341940" w:rsidP="00653777">
      <w:r w:rsidRPr="00B20219">
        <w:t xml:space="preserve">Of the </w:t>
      </w:r>
      <w:r w:rsidR="00B20219" w:rsidRPr="00B20219">
        <w:t>6452</w:t>
      </w:r>
      <w:r w:rsidR="00653E03" w:rsidRPr="00B20219">
        <w:t xml:space="preserve"> full pay relevant employees in</w:t>
      </w:r>
      <w:r w:rsidRPr="00B20219">
        <w:t xml:space="preserve">cluded in the calculation, </w:t>
      </w:r>
      <w:r w:rsidR="00560899">
        <w:t xml:space="preserve">1783 or </w:t>
      </w:r>
      <w:r w:rsidR="00B20219" w:rsidRPr="00B20219">
        <w:t>27.6</w:t>
      </w:r>
      <w:r w:rsidR="00BD52F0" w:rsidRPr="00B20219">
        <w:t>% were BAME</w:t>
      </w:r>
      <w:r w:rsidR="00306C4B" w:rsidRPr="00B20219">
        <w:t>+</w:t>
      </w:r>
      <w:r w:rsidRPr="00B20219">
        <w:t xml:space="preserve"> and </w:t>
      </w:r>
      <w:r w:rsidR="00560899">
        <w:t xml:space="preserve">4669 or </w:t>
      </w:r>
      <w:r w:rsidR="00B20219" w:rsidRPr="00B20219">
        <w:t>72.4</w:t>
      </w:r>
      <w:r w:rsidR="00653E03" w:rsidRPr="00B20219">
        <w:t>% were White British:</w:t>
      </w:r>
    </w:p>
    <w:p w:rsidR="00C3713C" w:rsidRPr="00B72929" w:rsidRDefault="00C3713C" w:rsidP="002B0327">
      <w:pPr>
        <w:keepNext/>
        <w:spacing w:before="200" w:after="200" w:line="240" w:lineRule="auto"/>
        <w:rPr>
          <w:iCs/>
          <w:sz w:val="18"/>
          <w:szCs w:val="18"/>
        </w:rPr>
      </w:pPr>
      <w:bookmarkStart w:id="18" w:name="_Toc119569368"/>
      <w:r w:rsidRPr="00B72929">
        <w:rPr>
          <w:iCs/>
          <w:sz w:val="18"/>
          <w:szCs w:val="18"/>
        </w:rPr>
        <w:t>Table</w:t>
      </w:r>
      <w:r w:rsidR="005541EA">
        <w:rPr>
          <w:iCs/>
          <w:sz w:val="18"/>
          <w:szCs w:val="18"/>
        </w:rPr>
        <w:t>7</w:t>
      </w:r>
      <w:r w:rsidRPr="00B72929">
        <w:rPr>
          <w:iCs/>
          <w:sz w:val="18"/>
          <w:szCs w:val="18"/>
        </w:rPr>
        <w:t>: BAME</w:t>
      </w:r>
      <w:r w:rsidR="008F5656" w:rsidRPr="00B72929">
        <w:rPr>
          <w:iCs/>
          <w:sz w:val="18"/>
          <w:szCs w:val="18"/>
        </w:rPr>
        <w:t>+</w:t>
      </w:r>
      <w:r w:rsidRPr="00B72929">
        <w:rPr>
          <w:iCs/>
          <w:sz w:val="18"/>
          <w:szCs w:val="18"/>
        </w:rPr>
        <w:t xml:space="preserve"> Pay Gap</w:t>
      </w:r>
      <w:bookmarkEnd w:id="18"/>
    </w:p>
    <w:tbl>
      <w:tblPr>
        <w:tblStyle w:val="TableGrid"/>
        <w:tblW w:w="5000" w:type="pct"/>
        <w:tblLook w:val="04A0" w:firstRow="1" w:lastRow="0" w:firstColumn="1" w:lastColumn="0" w:noHBand="0" w:noVBand="1"/>
        <w:tblCaption w:val="BAME+ Pay Gap"/>
        <w:tblDescription w:val="2017 to 2020"/>
      </w:tblPr>
      <w:tblGrid>
        <w:gridCol w:w="4934"/>
        <w:gridCol w:w="1198"/>
        <w:gridCol w:w="1198"/>
        <w:gridCol w:w="1198"/>
        <w:gridCol w:w="493"/>
      </w:tblGrid>
      <w:tr w:rsidR="00F6663A" w:rsidRPr="00BC4F7A" w:rsidTr="00F6663A">
        <w:trPr>
          <w:tblHeader/>
        </w:trPr>
        <w:tc>
          <w:tcPr>
            <w:tcW w:w="2735" w:type="pct"/>
            <w:shd w:val="clear" w:color="auto" w:fill="D9D9D9" w:themeFill="background1" w:themeFillShade="D9"/>
          </w:tcPr>
          <w:p w:rsidR="00F6663A" w:rsidRPr="00BC4F7A" w:rsidRDefault="00F6663A" w:rsidP="00F6663A">
            <w:pPr>
              <w:rPr>
                <w:b/>
                <w:szCs w:val="24"/>
              </w:rPr>
            </w:pPr>
          </w:p>
        </w:tc>
        <w:tc>
          <w:tcPr>
            <w:tcW w:w="664" w:type="pct"/>
            <w:tcBorders>
              <w:right w:val="single" w:sz="12" w:space="0" w:color="auto"/>
            </w:tcBorders>
            <w:shd w:val="clear" w:color="auto" w:fill="D9D9D9" w:themeFill="background1" w:themeFillShade="D9"/>
          </w:tcPr>
          <w:p w:rsidR="00F6663A" w:rsidRPr="00BC4F7A" w:rsidRDefault="00F6663A" w:rsidP="00F6663A">
            <w:pPr>
              <w:jc w:val="center"/>
              <w:rPr>
                <w:b/>
                <w:szCs w:val="24"/>
              </w:rPr>
            </w:pPr>
            <w:r w:rsidRPr="00BC4F7A">
              <w:rPr>
                <w:b/>
                <w:szCs w:val="24"/>
              </w:rPr>
              <w:t>2020</w:t>
            </w:r>
          </w:p>
        </w:tc>
        <w:tc>
          <w:tcPr>
            <w:tcW w:w="664" w:type="pct"/>
            <w:tcBorders>
              <w:right w:val="single" w:sz="12" w:space="0" w:color="auto"/>
            </w:tcBorders>
            <w:shd w:val="clear" w:color="auto" w:fill="D9D9D9" w:themeFill="background1" w:themeFillShade="D9"/>
          </w:tcPr>
          <w:p w:rsidR="00F6663A" w:rsidRPr="00BC4F7A" w:rsidRDefault="00F6663A" w:rsidP="00F6663A">
            <w:pPr>
              <w:jc w:val="center"/>
              <w:rPr>
                <w:b/>
                <w:szCs w:val="24"/>
              </w:rPr>
            </w:pPr>
            <w:r>
              <w:rPr>
                <w:b/>
                <w:szCs w:val="24"/>
              </w:rPr>
              <w:t>2021</w:t>
            </w:r>
          </w:p>
        </w:tc>
        <w:tc>
          <w:tcPr>
            <w:tcW w:w="664" w:type="pct"/>
            <w:tcBorders>
              <w:right w:val="single" w:sz="12" w:space="0" w:color="auto"/>
            </w:tcBorders>
            <w:shd w:val="clear" w:color="auto" w:fill="D9D9D9" w:themeFill="background1" w:themeFillShade="D9"/>
          </w:tcPr>
          <w:p w:rsidR="00F6663A" w:rsidRPr="00BC4F7A" w:rsidRDefault="00F6663A" w:rsidP="00F6663A">
            <w:pPr>
              <w:jc w:val="center"/>
              <w:rPr>
                <w:b/>
                <w:szCs w:val="24"/>
              </w:rPr>
            </w:pPr>
            <w:r>
              <w:rPr>
                <w:b/>
                <w:szCs w:val="24"/>
              </w:rPr>
              <w:t>2022</w:t>
            </w:r>
          </w:p>
        </w:tc>
        <w:tc>
          <w:tcPr>
            <w:tcW w:w="273" w:type="pct"/>
            <w:tcBorders>
              <w:top w:val="nil"/>
              <w:left w:val="single" w:sz="12" w:space="0" w:color="auto"/>
              <w:right w:val="nil"/>
            </w:tcBorders>
            <w:shd w:val="clear" w:color="auto" w:fill="auto"/>
          </w:tcPr>
          <w:p w:rsidR="00F6663A" w:rsidRPr="00BC4F7A" w:rsidRDefault="00F6663A" w:rsidP="00F6663A">
            <w:pPr>
              <w:jc w:val="center"/>
              <w:rPr>
                <w:b/>
                <w:szCs w:val="24"/>
              </w:rPr>
            </w:pPr>
          </w:p>
        </w:tc>
      </w:tr>
      <w:tr w:rsidR="00F6663A" w:rsidRPr="00BC4F7A" w:rsidTr="00F6663A">
        <w:tc>
          <w:tcPr>
            <w:tcW w:w="2735" w:type="pct"/>
            <w:shd w:val="clear" w:color="auto" w:fill="auto"/>
          </w:tcPr>
          <w:p w:rsidR="00F6663A" w:rsidRPr="00BC4F7A" w:rsidRDefault="00F6663A" w:rsidP="00F6663A">
            <w:pPr>
              <w:rPr>
                <w:szCs w:val="24"/>
              </w:rPr>
            </w:pPr>
            <w:r w:rsidRPr="00BC4F7A">
              <w:rPr>
                <w:szCs w:val="24"/>
              </w:rPr>
              <w:t xml:space="preserve"># </w:t>
            </w:r>
            <w:r>
              <w:rPr>
                <w:szCs w:val="24"/>
              </w:rPr>
              <w:t>BAME+</w:t>
            </w:r>
          </w:p>
        </w:tc>
        <w:tc>
          <w:tcPr>
            <w:tcW w:w="664" w:type="pct"/>
            <w:tcBorders>
              <w:left w:val="single" w:sz="12" w:space="0" w:color="auto"/>
            </w:tcBorders>
            <w:shd w:val="clear" w:color="auto" w:fill="auto"/>
          </w:tcPr>
          <w:p w:rsidR="00F6663A" w:rsidRPr="00A7633F" w:rsidRDefault="00F6663A" w:rsidP="00F6663A">
            <w:pPr>
              <w:jc w:val="center"/>
            </w:pPr>
            <w:r>
              <w:t>1821</w:t>
            </w:r>
          </w:p>
        </w:tc>
        <w:tc>
          <w:tcPr>
            <w:tcW w:w="664" w:type="pct"/>
            <w:tcBorders>
              <w:left w:val="single" w:sz="12" w:space="0" w:color="auto"/>
            </w:tcBorders>
            <w:shd w:val="clear" w:color="auto" w:fill="auto"/>
          </w:tcPr>
          <w:p w:rsidR="00F6663A" w:rsidRPr="00A7633F" w:rsidRDefault="00F6663A" w:rsidP="00F6663A">
            <w:pPr>
              <w:jc w:val="center"/>
            </w:pPr>
            <w:r>
              <w:t>1812</w:t>
            </w:r>
          </w:p>
        </w:tc>
        <w:tc>
          <w:tcPr>
            <w:tcW w:w="664" w:type="pct"/>
            <w:tcBorders>
              <w:left w:val="single" w:sz="12" w:space="0" w:color="auto"/>
            </w:tcBorders>
            <w:shd w:val="clear" w:color="auto" w:fill="auto"/>
          </w:tcPr>
          <w:p w:rsidR="00F6663A" w:rsidRPr="00A7633F" w:rsidRDefault="00B20219" w:rsidP="00F6663A">
            <w:pPr>
              <w:jc w:val="center"/>
            </w:pPr>
            <w:r>
              <w:t>1783</w:t>
            </w:r>
          </w:p>
        </w:tc>
        <w:tc>
          <w:tcPr>
            <w:tcW w:w="273" w:type="pct"/>
            <w:tcBorders>
              <w:left w:val="single" w:sz="12" w:space="0" w:color="auto"/>
            </w:tcBorders>
            <w:shd w:val="clear" w:color="auto" w:fill="auto"/>
          </w:tcPr>
          <w:p w:rsidR="00F6663A" w:rsidRDefault="00F6663A" w:rsidP="00F6663A">
            <w:pPr>
              <w:jc w:val="center"/>
            </w:pPr>
            <w:r>
              <w:rPr>
                <w:rFonts w:cstheme="minorHAnsi"/>
              </w:rPr>
              <w:t>↓</w:t>
            </w:r>
          </w:p>
        </w:tc>
      </w:tr>
      <w:tr w:rsidR="00F6663A" w:rsidRPr="00BC4F7A" w:rsidTr="00F6663A">
        <w:tc>
          <w:tcPr>
            <w:tcW w:w="2735" w:type="pct"/>
            <w:shd w:val="clear" w:color="auto" w:fill="auto"/>
          </w:tcPr>
          <w:p w:rsidR="00F6663A" w:rsidRPr="00BC4F7A" w:rsidRDefault="00F6663A" w:rsidP="00F6663A">
            <w:pPr>
              <w:rPr>
                <w:szCs w:val="24"/>
              </w:rPr>
            </w:pPr>
            <w:r>
              <w:rPr>
                <w:szCs w:val="24"/>
              </w:rPr>
              <w:t># White British</w:t>
            </w:r>
          </w:p>
        </w:tc>
        <w:tc>
          <w:tcPr>
            <w:tcW w:w="664" w:type="pct"/>
            <w:tcBorders>
              <w:left w:val="single" w:sz="12" w:space="0" w:color="auto"/>
            </w:tcBorders>
            <w:shd w:val="clear" w:color="auto" w:fill="auto"/>
          </w:tcPr>
          <w:p w:rsidR="00F6663A" w:rsidRPr="00A7633F" w:rsidRDefault="00F6663A" w:rsidP="00F6663A">
            <w:pPr>
              <w:jc w:val="center"/>
            </w:pPr>
            <w:r>
              <w:t>5131</w:t>
            </w:r>
          </w:p>
        </w:tc>
        <w:tc>
          <w:tcPr>
            <w:tcW w:w="664" w:type="pct"/>
            <w:tcBorders>
              <w:left w:val="single" w:sz="12" w:space="0" w:color="auto"/>
            </w:tcBorders>
            <w:shd w:val="clear" w:color="auto" w:fill="auto"/>
          </w:tcPr>
          <w:p w:rsidR="00F6663A" w:rsidRPr="00A7633F" w:rsidRDefault="00F6663A" w:rsidP="00F6663A">
            <w:pPr>
              <w:jc w:val="center"/>
            </w:pPr>
            <w:r>
              <w:t>4773</w:t>
            </w:r>
          </w:p>
        </w:tc>
        <w:tc>
          <w:tcPr>
            <w:tcW w:w="664" w:type="pct"/>
            <w:tcBorders>
              <w:left w:val="single" w:sz="12" w:space="0" w:color="auto"/>
            </w:tcBorders>
            <w:shd w:val="clear" w:color="auto" w:fill="auto"/>
          </w:tcPr>
          <w:p w:rsidR="00F6663A" w:rsidRPr="00A7633F" w:rsidRDefault="00B20219" w:rsidP="00F6663A">
            <w:pPr>
              <w:jc w:val="center"/>
            </w:pPr>
            <w:r>
              <w:t>4669</w:t>
            </w:r>
          </w:p>
        </w:tc>
        <w:tc>
          <w:tcPr>
            <w:tcW w:w="273" w:type="pct"/>
            <w:tcBorders>
              <w:left w:val="single" w:sz="12" w:space="0" w:color="auto"/>
            </w:tcBorders>
            <w:shd w:val="clear" w:color="auto" w:fill="auto"/>
          </w:tcPr>
          <w:p w:rsidR="00F6663A" w:rsidRDefault="00F6663A" w:rsidP="00F6663A">
            <w:pPr>
              <w:jc w:val="center"/>
            </w:pPr>
            <w:r>
              <w:rPr>
                <w:rFonts w:cstheme="minorHAnsi"/>
              </w:rPr>
              <w:t>↓</w:t>
            </w:r>
          </w:p>
        </w:tc>
      </w:tr>
      <w:tr w:rsidR="00F6663A" w:rsidRPr="00BC4F7A" w:rsidTr="00F6663A">
        <w:tc>
          <w:tcPr>
            <w:tcW w:w="2735" w:type="pct"/>
            <w:shd w:val="clear" w:color="auto" w:fill="auto"/>
          </w:tcPr>
          <w:p w:rsidR="00F6663A" w:rsidRDefault="00F6663A" w:rsidP="00F6663A">
            <w:pPr>
              <w:rPr>
                <w:szCs w:val="24"/>
              </w:rPr>
            </w:pPr>
            <w:r>
              <w:rPr>
                <w:szCs w:val="24"/>
              </w:rPr>
              <w:t># Unknown</w:t>
            </w:r>
          </w:p>
        </w:tc>
        <w:tc>
          <w:tcPr>
            <w:tcW w:w="664" w:type="pct"/>
            <w:tcBorders>
              <w:left w:val="single" w:sz="12" w:space="0" w:color="auto"/>
            </w:tcBorders>
            <w:shd w:val="clear" w:color="auto" w:fill="auto"/>
          </w:tcPr>
          <w:p w:rsidR="00F6663A" w:rsidRPr="00A7633F" w:rsidRDefault="00F6663A" w:rsidP="00F6663A">
            <w:pPr>
              <w:jc w:val="center"/>
            </w:pPr>
            <w:r>
              <w:t>366</w:t>
            </w:r>
          </w:p>
        </w:tc>
        <w:tc>
          <w:tcPr>
            <w:tcW w:w="664" w:type="pct"/>
            <w:tcBorders>
              <w:left w:val="single" w:sz="12" w:space="0" w:color="auto"/>
            </w:tcBorders>
            <w:shd w:val="clear" w:color="auto" w:fill="auto"/>
          </w:tcPr>
          <w:p w:rsidR="00F6663A" w:rsidRPr="00A7633F" w:rsidRDefault="00F6663A" w:rsidP="00F6663A">
            <w:pPr>
              <w:jc w:val="center"/>
            </w:pPr>
            <w:r>
              <w:t>440</w:t>
            </w:r>
          </w:p>
        </w:tc>
        <w:tc>
          <w:tcPr>
            <w:tcW w:w="664" w:type="pct"/>
            <w:tcBorders>
              <w:left w:val="single" w:sz="12" w:space="0" w:color="auto"/>
            </w:tcBorders>
            <w:shd w:val="clear" w:color="auto" w:fill="auto"/>
          </w:tcPr>
          <w:p w:rsidR="00F6663A" w:rsidRPr="00A7633F" w:rsidRDefault="00B20219" w:rsidP="00F6663A">
            <w:pPr>
              <w:jc w:val="center"/>
            </w:pPr>
            <w:r>
              <w:t>520</w:t>
            </w:r>
          </w:p>
        </w:tc>
        <w:tc>
          <w:tcPr>
            <w:tcW w:w="273" w:type="pct"/>
            <w:tcBorders>
              <w:left w:val="single" w:sz="12" w:space="0" w:color="auto"/>
            </w:tcBorders>
            <w:shd w:val="clear" w:color="auto" w:fill="auto"/>
          </w:tcPr>
          <w:p w:rsidR="00F6663A" w:rsidRDefault="00F6663A" w:rsidP="00F6663A">
            <w:pPr>
              <w:jc w:val="center"/>
            </w:pPr>
            <w:r w:rsidRPr="003F5D17">
              <w:t>↑</w:t>
            </w:r>
          </w:p>
        </w:tc>
      </w:tr>
      <w:tr w:rsidR="00F6663A" w:rsidRPr="00BC4F7A" w:rsidTr="00F6663A">
        <w:tc>
          <w:tcPr>
            <w:tcW w:w="2735" w:type="pct"/>
            <w:tcBorders>
              <w:bottom w:val="single" w:sz="4" w:space="0" w:color="auto"/>
            </w:tcBorders>
            <w:shd w:val="clear" w:color="auto" w:fill="auto"/>
          </w:tcPr>
          <w:p w:rsidR="00F6663A" w:rsidRDefault="00F6663A" w:rsidP="00F6663A">
            <w:pPr>
              <w:rPr>
                <w:szCs w:val="24"/>
              </w:rPr>
            </w:pPr>
            <w:r>
              <w:rPr>
                <w:szCs w:val="24"/>
              </w:rPr>
              <w:t>% BAME+</w:t>
            </w:r>
          </w:p>
        </w:tc>
        <w:tc>
          <w:tcPr>
            <w:tcW w:w="664" w:type="pct"/>
            <w:tcBorders>
              <w:left w:val="single" w:sz="12" w:space="0" w:color="auto"/>
              <w:bottom w:val="single" w:sz="4" w:space="0" w:color="auto"/>
            </w:tcBorders>
            <w:shd w:val="clear" w:color="auto" w:fill="auto"/>
          </w:tcPr>
          <w:p w:rsidR="00F6663A" w:rsidRPr="00A7633F" w:rsidRDefault="00F6663A" w:rsidP="00F6663A">
            <w:pPr>
              <w:jc w:val="center"/>
            </w:pPr>
            <w:r>
              <w:t>24.88</w:t>
            </w:r>
          </w:p>
        </w:tc>
        <w:tc>
          <w:tcPr>
            <w:tcW w:w="664" w:type="pct"/>
            <w:tcBorders>
              <w:left w:val="single" w:sz="12" w:space="0" w:color="auto"/>
              <w:bottom w:val="single" w:sz="4" w:space="0" w:color="auto"/>
            </w:tcBorders>
            <w:shd w:val="clear" w:color="auto" w:fill="auto"/>
          </w:tcPr>
          <w:p w:rsidR="00F6663A" w:rsidRPr="00A7633F" w:rsidRDefault="00F6663A" w:rsidP="00F6663A">
            <w:pPr>
              <w:jc w:val="center"/>
            </w:pPr>
            <w:r>
              <w:t>25.92</w:t>
            </w:r>
          </w:p>
        </w:tc>
        <w:tc>
          <w:tcPr>
            <w:tcW w:w="664" w:type="pct"/>
            <w:tcBorders>
              <w:left w:val="single" w:sz="12" w:space="0" w:color="auto"/>
              <w:bottom w:val="single" w:sz="4" w:space="0" w:color="auto"/>
            </w:tcBorders>
            <w:shd w:val="clear" w:color="auto" w:fill="auto"/>
          </w:tcPr>
          <w:p w:rsidR="00F6663A" w:rsidRPr="00A7633F" w:rsidRDefault="00B20219" w:rsidP="00F6663A">
            <w:pPr>
              <w:jc w:val="center"/>
            </w:pPr>
            <w:r>
              <w:t>25.57</w:t>
            </w:r>
          </w:p>
        </w:tc>
        <w:tc>
          <w:tcPr>
            <w:tcW w:w="273" w:type="pct"/>
            <w:tcBorders>
              <w:left w:val="single" w:sz="12" w:space="0" w:color="auto"/>
              <w:bottom w:val="single" w:sz="4" w:space="0" w:color="auto"/>
            </w:tcBorders>
            <w:shd w:val="clear" w:color="auto" w:fill="auto"/>
          </w:tcPr>
          <w:p w:rsidR="00F6663A" w:rsidRDefault="00B20219" w:rsidP="00F6663A">
            <w:pPr>
              <w:jc w:val="center"/>
            </w:pPr>
            <w:r>
              <w:rPr>
                <w:rFonts w:cstheme="minorHAnsi"/>
              </w:rPr>
              <w:t>↓</w:t>
            </w:r>
          </w:p>
        </w:tc>
      </w:tr>
      <w:tr w:rsidR="00F6663A" w:rsidRPr="00BC4F7A" w:rsidTr="00F6663A">
        <w:tc>
          <w:tcPr>
            <w:tcW w:w="2735" w:type="pct"/>
            <w:tcBorders>
              <w:bottom w:val="single" w:sz="4" w:space="0" w:color="auto"/>
            </w:tcBorders>
            <w:shd w:val="clear" w:color="auto" w:fill="auto"/>
          </w:tcPr>
          <w:p w:rsidR="00F6663A" w:rsidRPr="00BC4F7A" w:rsidRDefault="00F6663A" w:rsidP="00F6663A">
            <w:pPr>
              <w:rPr>
                <w:szCs w:val="24"/>
              </w:rPr>
            </w:pPr>
            <w:r w:rsidRPr="00BC4F7A">
              <w:rPr>
                <w:szCs w:val="24"/>
              </w:rPr>
              <w:t xml:space="preserve">% </w:t>
            </w:r>
            <w:r>
              <w:rPr>
                <w:szCs w:val="24"/>
              </w:rPr>
              <w:t>BAME+ of Known</w:t>
            </w:r>
          </w:p>
        </w:tc>
        <w:tc>
          <w:tcPr>
            <w:tcW w:w="664" w:type="pct"/>
            <w:tcBorders>
              <w:left w:val="single" w:sz="12" w:space="0" w:color="auto"/>
              <w:bottom w:val="single" w:sz="4" w:space="0" w:color="auto"/>
            </w:tcBorders>
            <w:shd w:val="clear" w:color="auto" w:fill="auto"/>
          </w:tcPr>
          <w:p w:rsidR="00F6663A" w:rsidRPr="00A7633F" w:rsidRDefault="00F6663A" w:rsidP="00F6663A">
            <w:pPr>
              <w:jc w:val="center"/>
            </w:pPr>
            <w:r>
              <w:t>26.19</w:t>
            </w:r>
          </w:p>
        </w:tc>
        <w:tc>
          <w:tcPr>
            <w:tcW w:w="664" w:type="pct"/>
            <w:tcBorders>
              <w:left w:val="single" w:sz="12" w:space="0" w:color="auto"/>
              <w:bottom w:val="single" w:sz="4" w:space="0" w:color="auto"/>
            </w:tcBorders>
            <w:shd w:val="clear" w:color="auto" w:fill="auto"/>
          </w:tcPr>
          <w:p w:rsidR="00F6663A" w:rsidRPr="00A7633F" w:rsidRDefault="00F6663A" w:rsidP="00F6663A">
            <w:pPr>
              <w:jc w:val="center"/>
            </w:pPr>
            <w:r>
              <w:t>27.52</w:t>
            </w:r>
          </w:p>
        </w:tc>
        <w:tc>
          <w:tcPr>
            <w:tcW w:w="664" w:type="pct"/>
            <w:tcBorders>
              <w:left w:val="single" w:sz="12" w:space="0" w:color="auto"/>
              <w:bottom w:val="single" w:sz="4" w:space="0" w:color="auto"/>
            </w:tcBorders>
            <w:shd w:val="clear" w:color="auto" w:fill="auto"/>
          </w:tcPr>
          <w:p w:rsidR="00F6663A" w:rsidRPr="00A7633F" w:rsidRDefault="00B20219" w:rsidP="00F6663A">
            <w:pPr>
              <w:jc w:val="center"/>
            </w:pPr>
            <w:r>
              <w:t>27.64</w:t>
            </w:r>
          </w:p>
        </w:tc>
        <w:tc>
          <w:tcPr>
            <w:tcW w:w="273" w:type="pct"/>
            <w:tcBorders>
              <w:left w:val="single" w:sz="12" w:space="0" w:color="auto"/>
              <w:bottom w:val="single" w:sz="4" w:space="0" w:color="auto"/>
            </w:tcBorders>
            <w:shd w:val="clear" w:color="auto" w:fill="auto"/>
          </w:tcPr>
          <w:p w:rsidR="00F6663A" w:rsidRDefault="00F6663A" w:rsidP="00F6663A">
            <w:pPr>
              <w:jc w:val="center"/>
            </w:pPr>
            <w:r w:rsidRPr="003F5D17">
              <w:t>↑</w:t>
            </w:r>
          </w:p>
        </w:tc>
      </w:tr>
      <w:tr w:rsidR="00F6663A" w:rsidRPr="00BC4F7A" w:rsidTr="00F6663A">
        <w:tc>
          <w:tcPr>
            <w:tcW w:w="2735" w:type="pct"/>
            <w:tcBorders>
              <w:top w:val="single" w:sz="4" w:space="0" w:color="auto"/>
              <w:bottom w:val="single" w:sz="12" w:space="0" w:color="auto"/>
            </w:tcBorders>
            <w:shd w:val="clear" w:color="auto" w:fill="auto"/>
          </w:tcPr>
          <w:p w:rsidR="00F6663A" w:rsidRPr="00D57E0A" w:rsidRDefault="00F6663A" w:rsidP="00F6663A">
            <w:pPr>
              <w:rPr>
                <w:szCs w:val="24"/>
              </w:rPr>
            </w:pPr>
            <w:r w:rsidRPr="00D57E0A">
              <w:rPr>
                <w:szCs w:val="24"/>
              </w:rPr>
              <w:t>% Unknown Ethnicity</w:t>
            </w:r>
          </w:p>
        </w:tc>
        <w:tc>
          <w:tcPr>
            <w:tcW w:w="664" w:type="pct"/>
            <w:tcBorders>
              <w:top w:val="single" w:sz="4" w:space="0" w:color="auto"/>
              <w:left w:val="single" w:sz="12" w:space="0" w:color="auto"/>
            </w:tcBorders>
            <w:shd w:val="clear" w:color="auto" w:fill="auto"/>
          </w:tcPr>
          <w:p w:rsidR="00F6663A" w:rsidRPr="00D57E0A" w:rsidRDefault="00F6663A" w:rsidP="00F6663A">
            <w:pPr>
              <w:jc w:val="center"/>
            </w:pPr>
            <w:r w:rsidRPr="00D57E0A">
              <w:t>5.00</w:t>
            </w:r>
          </w:p>
        </w:tc>
        <w:tc>
          <w:tcPr>
            <w:tcW w:w="664" w:type="pct"/>
            <w:tcBorders>
              <w:top w:val="single" w:sz="4" w:space="0" w:color="auto"/>
              <w:left w:val="single" w:sz="12" w:space="0" w:color="auto"/>
            </w:tcBorders>
            <w:shd w:val="clear" w:color="auto" w:fill="auto"/>
          </w:tcPr>
          <w:p w:rsidR="00F6663A" w:rsidRPr="00D57E0A" w:rsidRDefault="00F6663A" w:rsidP="00F6663A">
            <w:pPr>
              <w:jc w:val="center"/>
            </w:pPr>
            <w:r w:rsidRPr="00D57E0A">
              <w:t>6.26</w:t>
            </w:r>
          </w:p>
        </w:tc>
        <w:tc>
          <w:tcPr>
            <w:tcW w:w="664" w:type="pct"/>
            <w:tcBorders>
              <w:top w:val="single" w:sz="4" w:space="0" w:color="auto"/>
              <w:left w:val="single" w:sz="12" w:space="0" w:color="auto"/>
            </w:tcBorders>
            <w:shd w:val="clear" w:color="auto" w:fill="auto"/>
          </w:tcPr>
          <w:p w:rsidR="00F6663A" w:rsidRPr="00D57E0A" w:rsidRDefault="00B20219" w:rsidP="00F6663A">
            <w:pPr>
              <w:jc w:val="center"/>
            </w:pPr>
            <w:r>
              <w:t>7.46</w:t>
            </w:r>
          </w:p>
        </w:tc>
        <w:tc>
          <w:tcPr>
            <w:tcW w:w="273" w:type="pct"/>
            <w:tcBorders>
              <w:top w:val="single" w:sz="4" w:space="0" w:color="auto"/>
              <w:left w:val="single" w:sz="12" w:space="0" w:color="auto"/>
            </w:tcBorders>
            <w:shd w:val="clear" w:color="auto" w:fill="auto"/>
          </w:tcPr>
          <w:p w:rsidR="00F6663A" w:rsidRDefault="00F6663A" w:rsidP="00F6663A">
            <w:pPr>
              <w:jc w:val="center"/>
              <w:rPr>
                <w:i/>
              </w:rPr>
            </w:pPr>
            <w:r w:rsidRPr="003F5D17">
              <w:rPr>
                <w:b/>
                <w:color w:val="FF0000"/>
              </w:rPr>
              <w:t>↑</w:t>
            </w:r>
          </w:p>
        </w:tc>
      </w:tr>
      <w:tr w:rsidR="00F6663A" w:rsidRPr="00BC4F7A" w:rsidTr="00F6663A">
        <w:tc>
          <w:tcPr>
            <w:tcW w:w="2735" w:type="pct"/>
            <w:tcBorders>
              <w:top w:val="single" w:sz="12" w:space="0" w:color="auto"/>
            </w:tcBorders>
          </w:tcPr>
          <w:p w:rsidR="00F6663A" w:rsidRPr="00BC4F7A" w:rsidRDefault="00F6663A" w:rsidP="00F6663A">
            <w:pPr>
              <w:pStyle w:val="ListParagraph"/>
              <w:numPr>
                <w:ilvl w:val="0"/>
                <w:numId w:val="8"/>
              </w:numPr>
              <w:ind w:hanging="189"/>
              <w:rPr>
                <w:szCs w:val="24"/>
              </w:rPr>
            </w:pPr>
            <w:r w:rsidRPr="00BC4F7A">
              <w:rPr>
                <w:szCs w:val="24"/>
              </w:rPr>
              <w:t>Mean</w:t>
            </w:r>
          </w:p>
        </w:tc>
        <w:tc>
          <w:tcPr>
            <w:tcW w:w="664" w:type="pct"/>
            <w:tcBorders>
              <w:top w:val="single" w:sz="12" w:space="0" w:color="auto"/>
              <w:left w:val="single" w:sz="12" w:space="0" w:color="auto"/>
            </w:tcBorders>
            <w:shd w:val="clear" w:color="auto" w:fill="auto"/>
          </w:tcPr>
          <w:p w:rsidR="00F6663A" w:rsidRPr="00334F26" w:rsidRDefault="00F6663A" w:rsidP="00F6663A">
            <w:pPr>
              <w:jc w:val="center"/>
              <w:rPr>
                <w:color w:val="FF0000"/>
              </w:rPr>
            </w:pPr>
            <w:r>
              <w:rPr>
                <w:color w:val="FF0000"/>
              </w:rPr>
              <w:t>-13.23</w:t>
            </w:r>
          </w:p>
        </w:tc>
        <w:tc>
          <w:tcPr>
            <w:tcW w:w="664" w:type="pct"/>
            <w:tcBorders>
              <w:top w:val="single" w:sz="12" w:space="0" w:color="auto"/>
              <w:left w:val="single" w:sz="12" w:space="0" w:color="auto"/>
            </w:tcBorders>
            <w:shd w:val="clear" w:color="auto" w:fill="auto"/>
          </w:tcPr>
          <w:p w:rsidR="00F6663A" w:rsidRPr="00334F26" w:rsidRDefault="00F6663A" w:rsidP="00F6663A">
            <w:pPr>
              <w:jc w:val="center"/>
              <w:rPr>
                <w:color w:val="FF0000"/>
              </w:rPr>
            </w:pPr>
            <w:r>
              <w:rPr>
                <w:color w:val="FF0000"/>
              </w:rPr>
              <w:t>-10.86</w:t>
            </w:r>
          </w:p>
        </w:tc>
        <w:tc>
          <w:tcPr>
            <w:tcW w:w="664" w:type="pct"/>
            <w:tcBorders>
              <w:top w:val="single" w:sz="12" w:space="0" w:color="auto"/>
              <w:left w:val="single" w:sz="12" w:space="0" w:color="auto"/>
            </w:tcBorders>
            <w:shd w:val="clear" w:color="auto" w:fill="auto"/>
          </w:tcPr>
          <w:p w:rsidR="00F6663A" w:rsidRPr="00C32B2D" w:rsidRDefault="00357BBF" w:rsidP="00F6663A">
            <w:pPr>
              <w:jc w:val="center"/>
              <w:rPr>
                <w:color w:val="FF0000"/>
              </w:rPr>
            </w:pPr>
            <w:r>
              <w:rPr>
                <w:color w:val="FF0000"/>
              </w:rPr>
              <w:t>-7.95</w:t>
            </w:r>
          </w:p>
        </w:tc>
        <w:tc>
          <w:tcPr>
            <w:tcW w:w="273" w:type="pct"/>
            <w:tcBorders>
              <w:top w:val="single" w:sz="12" w:space="0" w:color="auto"/>
              <w:left w:val="single" w:sz="12" w:space="0" w:color="auto"/>
            </w:tcBorders>
            <w:shd w:val="clear" w:color="auto" w:fill="auto"/>
          </w:tcPr>
          <w:p w:rsidR="00F6663A" w:rsidRPr="003F5D17" w:rsidRDefault="00F6663A" w:rsidP="00F6663A">
            <w:pPr>
              <w:jc w:val="center"/>
              <w:rPr>
                <w:b/>
                <w:color w:val="FF0000"/>
              </w:rPr>
            </w:pPr>
            <w:r w:rsidRPr="003F5D17">
              <w:rPr>
                <w:b/>
                <w:color w:val="00B050"/>
              </w:rPr>
              <w:t>↓</w:t>
            </w:r>
          </w:p>
        </w:tc>
      </w:tr>
      <w:tr w:rsidR="00F6663A" w:rsidRPr="00BC4F7A" w:rsidTr="00F6663A">
        <w:tc>
          <w:tcPr>
            <w:tcW w:w="2735" w:type="pct"/>
            <w:tcBorders>
              <w:bottom w:val="single" w:sz="12" w:space="0" w:color="auto"/>
            </w:tcBorders>
          </w:tcPr>
          <w:p w:rsidR="00F6663A" w:rsidRPr="00BC4F7A" w:rsidRDefault="00F6663A" w:rsidP="00F6663A">
            <w:pPr>
              <w:pStyle w:val="ListParagraph"/>
              <w:numPr>
                <w:ilvl w:val="0"/>
                <w:numId w:val="8"/>
              </w:numPr>
              <w:ind w:hanging="189"/>
              <w:rPr>
                <w:szCs w:val="24"/>
              </w:rPr>
            </w:pPr>
            <w:r w:rsidRPr="00BC4F7A">
              <w:rPr>
                <w:szCs w:val="24"/>
              </w:rPr>
              <w:t>Median</w:t>
            </w:r>
          </w:p>
        </w:tc>
        <w:tc>
          <w:tcPr>
            <w:tcW w:w="664" w:type="pct"/>
            <w:tcBorders>
              <w:left w:val="single" w:sz="12" w:space="0" w:color="auto"/>
              <w:bottom w:val="single" w:sz="12" w:space="0" w:color="auto"/>
            </w:tcBorders>
            <w:shd w:val="clear" w:color="auto" w:fill="auto"/>
          </w:tcPr>
          <w:p w:rsidR="00F6663A" w:rsidRPr="00334F26" w:rsidRDefault="00F6663A" w:rsidP="00F6663A">
            <w:pPr>
              <w:jc w:val="center"/>
              <w:rPr>
                <w:color w:val="FF0000"/>
              </w:rPr>
            </w:pPr>
            <w:r>
              <w:rPr>
                <w:color w:val="FF0000"/>
              </w:rPr>
              <w:t>-14.57</w:t>
            </w:r>
          </w:p>
        </w:tc>
        <w:tc>
          <w:tcPr>
            <w:tcW w:w="664" w:type="pct"/>
            <w:tcBorders>
              <w:left w:val="single" w:sz="12" w:space="0" w:color="auto"/>
              <w:bottom w:val="single" w:sz="12" w:space="0" w:color="auto"/>
            </w:tcBorders>
            <w:shd w:val="clear" w:color="auto" w:fill="auto"/>
          </w:tcPr>
          <w:p w:rsidR="00F6663A" w:rsidRPr="00334F26" w:rsidRDefault="00F6663A" w:rsidP="00F6663A">
            <w:pPr>
              <w:jc w:val="center"/>
              <w:rPr>
                <w:color w:val="FF0000"/>
              </w:rPr>
            </w:pPr>
            <w:r>
              <w:rPr>
                <w:color w:val="FF0000"/>
              </w:rPr>
              <w:t>-12.49</w:t>
            </w:r>
          </w:p>
        </w:tc>
        <w:tc>
          <w:tcPr>
            <w:tcW w:w="664" w:type="pct"/>
            <w:tcBorders>
              <w:left w:val="single" w:sz="12" w:space="0" w:color="auto"/>
              <w:bottom w:val="single" w:sz="12" w:space="0" w:color="auto"/>
            </w:tcBorders>
            <w:shd w:val="clear" w:color="auto" w:fill="auto"/>
          </w:tcPr>
          <w:p w:rsidR="00F6663A" w:rsidRPr="00C32B2D" w:rsidRDefault="00357BBF" w:rsidP="00F6663A">
            <w:pPr>
              <w:jc w:val="center"/>
              <w:rPr>
                <w:color w:val="FF0000"/>
              </w:rPr>
            </w:pPr>
            <w:r>
              <w:rPr>
                <w:color w:val="FF0000"/>
              </w:rPr>
              <w:t>-11.60</w:t>
            </w:r>
          </w:p>
        </w:tc>
        <w:tc>
          <w:tcPr>
            <w:tcW w:w="273" w:type="pct"/>
            <w:tcBorders>
              <w:left w:val="single" w:sz="12" w:space="0" w:color="auto"/>
              <w:bottom w:val="single" w:sz="12" w:space="0" w:color="auto"/>
            </w:tcBorders>
            <w:shd w:val="clear" w:color="auto" w:fill="auto"/>
          </w:tcPr>
          <w:p w:rsidR="00F6663A" w:rsidRPr="003F5D17" w:rsidRDefault="00F6663A" w:rsidP="00F6663A">
            <w:pPr>
              <w:jc w:val="center"/>
              <w:rPr>
                <w:b/>
                <w:color w:val="FF0000"/>
              </w:rPr>
            </w:pPr>
            <w:r w:rsidRPr="003F5D17">
              <w:rPr>
                <w:b/>
                <w:color w:val="00B050"/>
              </w:rPr>
              <w:t>↓</w:t>
            </w:r>
          </w:p>
        </w:tc>
      </w:tr>
      <w:tr w:rsidR="00F6663A" w:rsidRPr="00BC4F7A" w:rsidTr="00F6663A">
        <w:tc>
          <w:tcPr>
            <w:tcW w:w="2735" w:type="pct"/>
            <w:tcBorders>
              <w:top w:val="single" w:sz="12" w:space="0" w:color="auto"/>
            </w:tcBorders>
          </w:tcPr>
          <w:p w:rsidR="00F6663A" w:rsidRPr="00BC4F7A" w:rsidRDefault="00F6663A" w:rsidP="00F6663A">
            <w:pPr>
              <w:pStyle w:val="ListParagraph"/>
              <w:numPr>
                <w:ilvl w:val="0"/>
                <w:numId w:val="8"/>
              </w:numPr>
              <w:ind w:hanging="189"/>
              <w:rPr>
                <w:szCs w:val="24"/>
              </w:rPr>
            </w:pPr>
            <w:r w:rsidRPr="00BC4F7A">
              <w:rPr>
                <w:szCs w:val="24"/>
              </w:rPr>
              <w:t>Mean Bonus</w:t>
            </w:r>
          </w:p>
        </w:tc>
        <w:tc>
          <w:tcPr>
            <w:tcW w:w="664" w:type="pct"/>
            <w:tcBorders>
              <w:top w:val="single" w:sz="12" w:space="0" w:color="auto"/>
              <w:left w:val="single" w:sz="12" w:space="0" w:color="auto"/>
            </w:tcBorders>
            <w:shd w:val="clear" w:color="auto" w:fill="auto"/>
          </w:tcPr>
          <w:p w:rsidR="00F6663A" w:rsidRPr="00334F26" w:rsidRDefault="00F6663A" w:rsidP="00F6663A">
            <w:pPr>
              <w:jc w:val="center"/>
              <w:rPr>
                <w:color w:val="FF0000"/>
              </w:rPr>
            </w:pPr>
            <w:r>
              <w:rPr>
                <w:color w:val="FF0000"/>
              </w:rPr>
              <w:t>-118.81</w:t>
            </w:r>
          </w:p>
        </w:tc>
        <w:tc>
          <w:tcPr>
            <w:tcW w:w="664" w:type="pct"/>
            <w:tcBorders>
              <w:top w:val="single" w:sz="12" w:space="0" w:color="auto"/>
              <w:left w:val="single" w:sz="12" w:space="0" w:color="auto"/>
            </w:tcBorders>
            <w:shd w:val="clear" w:color="auto" w:fill="auto"/>
          </w:tcPr>
          <w:p w:rsidR="00F6663A" w:rsidRPr="00334F26" w:rsidRDefault="00F6663A" w:rsidP="00F6663A">
            <w:pPr>
              <w:jc w:val="center"/>
              <w:rPr>
                <w:color w:val="FF0000"/>
              </w:rPr>
            </w:pPr>
            <w:r>
              <w:rPr>
                <w:color w:val="FF0000"/>
              </w:rPr>
              <w:t>-4.06</w:t>
            </w:r>
          </w:p>
        </w:tc>
        <w:tc>
          <w:tcPr>
            <w:tcW w:w="664" w:type="pct"/>
            <w:tcBorders>
              <w:top w:val="single" w:sz="12" w:space="0" w:color="auto"/>
              <w:left w:val="single" w:sz="12" w:space="0" w:color="auto"/>
            </w:tcBorders>
            <w:shd w:val="clear" w:color="auto" w:fill="auto"/>
          </w:tcPr>
          <w:p w:rsidR="00F6663A" w:rsidRPr="00016844" w:rsidRDefault="00016844" w:rsidP="00F6663A">
            <w:pPr>
              <w:jc w:val="center"/>
            </w:pPr>
            <w:r w:rsidRPr="00016844">
              <w:t>10.98</w:t>
            </w:r>
          </w:p>
        </w:tc>
        <w:tc>
          <w:tcPr>
            <w:tcW w:w="273" w:type="pct"/>
            <w:tcBorders>
              <w:top w:val="single" w:sz="12" w:space="0" w:color="auto"/>
              <w:left w:val="single" w:sz="12" w:space="0" w:color="auto"/>
            </w:tcBorders>
            <w:shd w:val="clear" w:color="auto" w:fill="auto"/>
          </w:tcPr>
          <w:p w:rsidR="00F6663A" w:rsidRPr="003F5D17" w:rsidRDefault="00016844" w:rsidP="00F6663A">
            <w:pPr>
              <w:jc w:val="center"/>
              <w:rPr>
                <w:b/>
                <w:color w:val="00B050"/>
              </w:rPr>
            </w:pPr>
            <w:r w:rsidRPr="003F5D17">
              <w:rPr>
                <w:b/>
                <w:color w:val="FF0000"/>
              </w:rPr>
              <w:t>↑</w:t>
            </w:r>
          </w:p>
        </w:tc>
      </w:tr>
      <w:tr w:rsidR="00F6663A" w:rsidRPr="00BC4F7A" w:rsidTr="00F6663A">
        <w:tc>
          <w:tcPr>
            <w:tcW w:w="2735" w:type="pct"/>
            <w:tcBorders>
              <w:bottom w:val="single" w:sz="12" w:space="0" w:color="auto"/>
            </w:tcBorders>
          </w:tcPr>
          <w:p w:rsidR="00F6663A" w:rsidRPr="00BC4F7A" w:rsidRDefault="00F6663A" w:rsidP="00F6663A">
            <w:pPr>
              <w:pStyle w:val="ListParagraph"/>
              <w:numPr>
                <w:ilvl w:val="0"/>
                <w:numId w:val="8"/>
              </w:numPr>
              <w:ind w:hanging="189"/>
              <w:rPr>
                <w:szCs w:val="24"/>
              </w:rPr>
            </w:pPr>
            <w:r w:rsidRPr="00BC4F7A">
              <w:rPr>
                <w:szCs w:val="24"/>
              </w:rPr>
              <w:t>Median Bonus</w:t>
            </w:r>
          </w:p>
        </w:tc>
        <w:tc>
          <w:tcPr>
            <w:tcW w:w="664" w:type="pct"/>
            <w:tcBorders>
              <w:left w:val="single" w:sz="12" w:space="0" w:color="auto"/>
              <w:bottom w:val="single" w:sz="12" w:space="0" w:color="auto"/>
            </w:tcBorders>
            <w:shd w:val="clear" w:color="auto" w:fill="auto"/>
          </w:tcPr>
          <w:p w:rsidR="00F6663A" w:rsidRPr="00334F26" w:rsidRDefault="00F6663A" w:rsidP="00F6663A">
            <w:pPr>
              <w:jc w:val="center"/>
              <w:rPr>
                <w:color w:val="FF0000"/>
              </w:rPr>
            </w:pPr>
            <w:r>
              <w:rPr>
                <w:color w:val="FF0000"/>
              </w:rPr>
              <w:t>-704.27</w:t>
            </w:r>
          </w:p>
        </w:tc>
        <w:tc>
          <w:tcPr>
            <w:tcW w:w="664" w:type="pct"/>
            <w:tcBorders>
              <w:left w:val="single" w:sz="12" w:space="0" w:color="auto"/>
              <w:bottom w:val="single" w:sz="12" w:space="0" w:color="auto"/>
            </w:tcBorders>
            <w:shd w:val="clear" w:color="auto" w:fill="auto"/>
          </w:tcPr>
          <w:p w:rsidR="00F6663A" w:rsidRPr="00334F26" w:rsidRDefault="00F6663A" w:rsidP="00F6663A">
            <w:pPr>
              <w:jc w:val="center"/>
              <w:rPr>
                <w:color w:val="FF0000"/>
              </w:rPr>
            </w:pPr>
            <w:r w:rsidRPr="00566066">
              <w:t>45.70</w:t>
            </w:r>
          </w:p>
        </w:tc>
        <w:tc>
          <w:tcPr>
            <w:tcW w:w="664" w:type="pct"/>
            <w:tcBorders>
              <w:left w:val="single" w:sz="12" w:space="0" w:color="auto"/>
              <w:bottom w:val="single" w:sz="12" w:space="0" w:color="auto"/>
            </w:tcBorders>
            <w:shd w:val="clear" w:color="auto" w:fill="auto"/>
          </w:tcPr>
          <w:p w:rsidR="00F6663A" w:rsidRPr="00016844" w:rsidRDefault="00016844" w:rsidP="00F6663A">
            <w:pPr>
              <w:jc w:val="center"/>
            </w:pPr>
            <w:r w:rsidRPr="00016844">
              <w:t>58.33</w:t>
            </w:r>
          </w:p>
        </w:tc>
        <w:tc>
          <w:tcPr>
            <w:tcW w:w="273" w:type="pct"/>
            <w:tcBorders>
              <w:left w:val="single" w:sz="12" w:space="0" w:color="auto"/>
              <w:bottom w:val="single" w:sz="12" w:space="0" w:color="auto"/>
            </w:tcBorders>
            <w:shd w:val="clear" w:color="auto" w:fill="auto"/>
          </w:tcPr>
          <w:p w:rsidR="00F6663A" w:rsidRPr="003F5D17" w:rsidRDefault="00F6663A" w:rsidP="00F6663A">
            <w:pPr>
              <w:jc w:val="center"/>
              <w:rPr>
                <w:b/>
                <w:color w:val="FF0000"/>
              </w:rPr>
            </w:pPr>
            <w:r w:rsidRPr="003F5D17">
              <w:rPr>
                <w:b/>
                <w:color w:val="FF0000"/>
              </w:rPr>
              <w:t>↑</w:t>
            </w:r>
          </w:p>
        </w:tc>
      </w:tr>
      <w:tr w:rsidR="00F6663A" w:rsidRPr="00BC4F7A" w:rsidTr="00F6663A">
        <w:tc>
          <w:tcPr>
            <w:tcW w:w="2735" w:type="pct"/>
            <w:tcBorders>
              <w:top w:val="single" w:sz="12" w:space="0" w:color="auto"/>
            </w:tcBorders>
          </w:tcPr>
          <w:p w:rsidR="00F6663A" w:rsidRPr="00BC4F7A" w:rsidRDefault="00F6663A" w:rsidP="00F6663A">
            <w:pPr>
              <w:rPr>
                <w:szCs w:val="24"/>
              </w:rPr>
            </w:pPr>
            <w:r>
              <w:rPr>
                <w:szCs w:val="24"/>
              </w:rPr>
              <w:t>% BAME+</w:t>
            </w:r>
            <w:r w:rsidRPr="00BC4F7A">
              <w:rPr>
                <w:szCs w:val="24"/>
              </w:rPr>
              <w:t xml:space="preserve"> </w:t>
            </w:r>
            <w:r w:rsidR="0049360E">
              <w:rPr>
                <w:szCs w:val="24"/>
              </w:rPr>
              <w:t>S</w:t>
            </w:r>
            <w:r w:rsidRPr="00BC4F7A">
              <w:rPr>
                <w:szCs w:val="24"/>
              </w:rPr>
              <w:t xml:space="preserve">taff in </w:t>
            </w:r>
            <w:r w:rsidR="0049360E">
              <w:rPr>
                <w:szCs w:val="24"/>
              </w:rPr>
              <w:t>R</w:t>
            </w:r>
            <w:r w:rsidRPr="00BC4F7A">
              <w:rPr>
                <w:szCs w:val="24"/>
              </w:rPr>
              <w:t xml:space="preserve">eceipt of </w:t>
            </w:r>
            <w:r w:rsidR="0049360E">
              <w:rPr>
                <w:szCs w:val="24"/>
              </w:rPr>
              <w:t>B</w:t>
            </w:r>
            <w:r w:rsidRPr="00BC4F7A">
              <w:rPr>
                <w:szCs w:val="24"/>
              </w:rPr>
              <w:t xml:space="preserve">onus </w:t>
            </w:r>
            <w:r w:rsidR="0049360E">
              <w:rPr>
                <w:szCs w:val="24"/>
              </w:rPr>
              <w:t>P</w:t>
            </w:r>
            <w:r w:rsidRPr="00BC4F7A">
              <w:rPr>
                <w:szCs w:val="24"/>
              </w:rPr>
              <w:t>ay</w:t>
            </w:r>
          </w:p>
        </w:tc>
        <w:tc>
          <w:tcPr>
            <w:tcW w:w="664" w:type="pct"/>
            <w:tcBorders>
              <w:top w:val="single" w:sz="12" w:space="0" w:color="auto"/>
              <w:left w:val="single" w:sz="12" w:space="0" w:color="auto"/>
              <w:right w:val="single" w:sz="12" w:space="0" w:color="auto"/>
            </w:tcBorders>
            <w:shd w:val="clear" w:color="auto" w:fill="auto"/>
          </w:tcPr>
          <w:p w:rsidR="00F6663A" w:rsidRDefault="00F6663A" w:rsidP="00F6663A">
            <w:pPr>
              <w:jc w:val="center"/>
            </w:pPr>
            <w:r>
              <w:t>1.23</w:t>
            </w:r>
          </w:p>
        </w:tc>
        <w:tc>
          <w:tcPr>
            <w:tcW w:w="664" w:type="pct"/>
            <w:tcBorders>
              <w:top w:val="single" w:sz="12" w:space="0" w:color="auto"/>
              <w:left w:val="single" w:sz="12" w:space="0" w:color="auto"/>
              <w:bottom w:val="single" w:sz="4" w:space="0" w:color="auto"/>
              <w:right w:val="single" w:sz="4" w:space="0" w:color="auto"/>
            </w:tcBorders>
            <w:shd w:val="clear" w:color="auto" w:fill="auto"/>
            <w:vAlign w:val="bottom"/>
          </w:tcPr>
          <w:p w:rsidR="00F6663A" w:rsidRDefault="00F6663A" w:rsidP="00F6663A">
            <w:pPr>
              <w:jc w:val="center"/>
            </w:pPr>
            <w:r w:rsidRPr="00566066">
              <w:rPr>
                <w:rFonts w:ascii="Calibri" w:hAnsi="Calibri" w:cs="Calibri"/>
                <w:color w:val="000000"/>
              </w:rPr>
              <w:t>0.93</w:t>
            </w:r>
          </w:p>
        </w:tc>
        <w:tc>
          <w:tcPr>
            <w:tcW w:w="664" w:type="pct"/>
            <w:tcBorders>
              <w:top w:val="single" w:sz="12" w:space="0" w:color="auto"/>
              <w:left w:val="single" w:sz="12" w:space="0" w:color="auto"/>
              <w:bottom w:val="single" w:sz="4" w:space="0" w:color="auto"/>
              <w:right w:val="single" w:sz="4" w:space="0" w:color="auto"/>
            </w:tcBorders>
            <w:shd w:val="clear" w:color="auto" w:fill="auto"/>
            <w:vAlign w:val="bottom"/>
          </w:tcPr>
          <w:p w:rsidR="00F6663A" w:rsidRPr="00566066" w:rsidRDefault="00016844" w:rsidP="00F6663A">
            <w:pPr>
              <w:jc w:val="center"/>
            </w:pPr>
            <w:r>
              <w:t>0.77</w:t>
            </w:r>
          </w:p>
        </w:tc>
        <w:tc>
          <w:tcPr>
            <w:tcW w:w="273" w:type="pct"/>
            <w:tcBorders>
              <w:top w:val="single" w:sz="12" w:space="0" w:color="auto"/>
              <w:left w:val="single" w:sz="12" w:space="0" w:color="auto"/>
            </w:tcBorders>
            <w:shd w:val="clear" w:color="auto" w:fill="auto"/>
          </w:tcPr>
          <w:p w:rsidR="00F6663A" w:rsidRPr="00BE5AFD" w:rsidRDefault="00F6663A" w:rsidP="00F6663A">
            <w:pPr>
              <w:jc w:val="center"/>
            </w:pPr>
            <w:r w:rsidRPr="00BE5AFD">
              <w:t>↓</w:t>
            </w:r>
          </w:p>
        </w:tc>
      </w:tr>
      <w:tr w:rsidR="00F6663A" w:rsidRPr="00BC4F7A" w:rsidTr="00F6663A">
        <w:tc>
          <w:tcPr>
            <w:tcW w:w="2735" w:type="pct"/>
          </w:tcPr>
          <w:p w:rsidR="00F6663A" w:rsidRPr="00BC4F7A" w:rsidRDefault="00F6663A" w:rsidP="00F6663A">
            <w:pPr>
              <w:rPr>
                <w:szCs w:val="24"/>
              </w:rPr>
            </w:pPr>
            <w:r>
              <w:rPr>
                <w:szCs w:val="24"/>
              </w:rPr>
              <w:t>% of WB</w:t>
            </w:r>
            <w:r w:rsidRPr="00BC4F7A">
              <w:rPr>
                <w:szCs w:val="24"/>
              </w:rPr>
              <w:t xml:space="preserve"> </w:t>
            </w:r>
            <w:r w:rsidR="0049360E">
              <w:rPr>
                <w:szCs w:val="24"/>
              </w:rPr>
              <w:t>S</w:t>
            </w:r>
            <w:r w:rsidRPr="00BC4F7A">
              <w:rPr>
                <w:szCs w:val="24"/>
              </w:rPr>
              <w:t xml:space="preserve">taff in </w:t>
            </w:r>
            <w:r w:rsidR="0049360E">
              <w:rPr>
                <w:szCs w:val="24"/>
              </w:rPr>
              <w:t>R</w:t>
            </w:r>
            <w:r w:rsidRPr="00BC4F7A">
              <w:rPr>
                <w:szCs w:val="24"/>
              </w:rPr>
              <w:t xml:space="preserve">eceipt of </w:t>
            </w:r>
            <w:r w:rsidR="0049360E">
              <w:rPr>
                <w:szCs w:val="24"/>
              </w:rPr>
              <w:t>B</w:t>
            </w:r>
            <w:r w:rsidRPr="00BC4F7A">
              <w:rPr>
                <w:szCs w:val="24"/>
              </w:rPr>
              <w:t xml:space="preserve">onus </w:t>
            </w:r>
            <w:r w:rsidR="0049360E">
              <w:rPr>
                <w:szCs w:val="24"/>
              </w:rPr>
              <w:t>P</w:t>
            </w:r>
            <w:r w:rsidRPr="00BC4F7A">
              <w:rPr>
                <w:szCs w:val="24"/>
              </w:rPr>
              <w:t>ay</w:t>
            </w:r>
          </w:p>
        </w:tc>
        <w:tc>
          <w:tcPr>
            <w:tcW w:w="664" w:type="pct"/>
            <w:tcBorders>
              <w:left w:val="single" w:sz="12" w:space="0" w:color="auto"/>
              <w:right w:val="single" w:sz="12" w:space="0" w:color="auto"/>
            </w:tcBorders>
            <w:shd w:val="clear" w:color="auto" w:fill="auto"/>
          </w:tcPr>
          <w:p w:rsidR="00F6663A" w:rsidRDefault="00F6663A" w:rsidP="00F6663A">
            <w:pPr>
              <w:jc w:val="center"/>
            </w:pPr>
            <w:r>
              <w:t>1.92</w:t>
            </w:r>
          </w:p>
        </w:tc>
        <w:tc>
          <w:tcPr>
            <w:tcW w:w="664" w:type="pct"/>
            <w:tcBorders>
              <w:top w:val="single" w:sz="4" w:space="0" w:color="auto"/>
              <w:left w:val="single" w:sz="12" w:space="0" w:color="auto"/>
              <w:bottom w:val="single" w:sz="4" w:space="0" w:color="auto"/>
              <w:right w:val="single" w:sz="4" w:space="0" w:color="auto"/>
            </w:tcBorders>
            <w:shd w:val="clear" w:color="auto" w:fill="auto"/>
            <w:vAlign w:val="bottom"/>
          </w:tcPr>
          <w:p w:rsidR="00F6663A" w:rsidRDefault="00F6663A" w:rsidP="00F6663A">
            <w:pPr>
              <w:jc w:val="center"/>
            </w:pPr>
            <w:r w:rsidRPr="00566066">
              <w:rPr>
                <w:rFonts w:ascii="Calibri" w:hAnsi="Calibri" w:cs="Calibri"/>
                <w:color w:val="000000"/>
              </w:rPr>
              <w:t>0.69</w:t>
            </w:r>
          </w:p>
        </w:tc>
        <w:tc>
          <w:tcPr>
            <w:tcW w:w="664" w:type="pct"/>
            <w:tcBorders>
              <w:top w:val="single" w:sz="4" w:space="0" w:color="auto"/>
              <w:left w:val="single" w:sz="12" w:space="0" w:color="auto"/>
              <w:bottom w:val="single" w:sz="4" w:space="0" w:color="auto"/>
              <w:right w:val="single" w:sz="4" w:space="0" w:color="auto"/>
            </w:tcBorders>
            <w:shd w:val="clear" w:color="auto" w:fill="auto"/>
            <w:vAlign w:val="bottom"/>
          </w:tcPr>
          <w:p w:rsidR="00F6663A" w:rsidRPr="00566066" w:rsidRDefault="00016844" w:rsidP="00F6663A">
            <w:pPr>
              <w:jc w:val="center"/>
            </w:pPr>
            <w:r>
              <w:t>0.60</w:t>
            </w:r>
          </w:p>
        </w:tc>
        <w:tc>
          <w:tcPr>
            <w:tcW w:w="273" w:type="pct"/>
            <w:tcBorders>
              <w:left w:val="single" w:sz="12" w:space="0" w:color="auto"/>
            </w:tcBorders>
            <w:shd w:val="clear" w:color="auto" w:fill="auto"/>
          </w:tcPr>
          <w:p w:rsidR="00F6663A" w:rsidRPr="00BE5AFD" w:rsidRDefault="00F6663A" w:rsidP="00F6663A">
            <w:pPr>
              <w:jc w:val="center"/>
            </w:pPr>
            <w:r w:rsidRPr="00BE5AFD">
              <w:t>↓</w:t>
            </w:r>
          </w:p>
        </w:tc>
      </w:tr>
      <w:tr w:rsidR="00F6663A" w:rsidRPr="00BC4F7A" w:rsidTr="00F6663A">
        <w:tc>
          <w:tcPr>
            <w:tcW w:w="2735" w:type="pct"/>
          </w:tcPr>
          <w:p w:rsidR="00F6663A" w:rsidRPr="00BC4F7A" w:rsidRDefault="00F6663A" w:rsidP="00F6663A">
            <w:pPr>
              <w:rPr>
                <w:szCs w:val="24"/>
              </w:rPr>
            </w:pPr>
            <w:r w:rsidRPr="00BC4F7A">
              <w:rPr>
                <w:szCs w:val="24"/>
              </w:rPr>
              <w:t xml:space="preserve">% </w:t>
            </w:r>
            <w:r w:rsidR="0049360E">
              <w:rPr>
                <w:szCs w:val="24"/>
              </w:rPr>
              <w:t>B</w:t>
            </w:r>
            <w:r w:rsidRPr="00BC4F7A">
              <w:rPr>
                <w:szCs w:val="24"/>
              </w:rPr>
              <w:t>on</w:t>
            </w:r>
            <w:r>
              <w:rPr>
                <w:szCs w:val="24"/>
              </w:rPr>
              <w:t xml:space="preserve">us </w:t>
            </w:r>
            <w:r w:rsidR="0049360E">
              <w:rPr>
                <w:szCs w:val="24"/>
              </w:rPr>
              <w:t>P</w:t>
            </w:r>
            <w:r>
              <w:rPr>
                <w:szCs w:val="24"/>
              </w:rPr>
              <w:t xml:space="preserve">ay </w:t>
            </w:r>
            <w:r w:rsidR="0049360E">
              <w:rPr>
                <w:szCs w:val="24"/>
              </w:rPr>
              <w:t>R</w:t>
            </w:r>
            <w:r>
              <w:rPr>
                <w:szCs w:val="24"/>
              </w:rPr>
              <w:t xml:space="preserve">ecipients </w:t>
            </w:r>
            <w:r w:rsidR="0049360E">
              <w:rPr>
                <w:szCs w:val="24"/>
              </w:rPr>
              <w:t>W</w:t>
            </w:r>
            <w:r>
              <w:rPr>
                <w:szCs w:val="24"/>
              </w:rPr>
              <w:t xml:space="preserve">ho </w:t>
            </w:r>
            <w:r w:rsidR="0049360E">
              <w:rPr>
                <w:szCs w:val="24"/>
              </w:rPr>
              <w:t>A</w:t>
            </w:r>
            <w:r>
              <w:rPr>
                <w:szCs w:val="24"/>
              </w:rPr>
              <w:t>re BAME+</w:t>
            </w:r>
          </w:p>
        </w:tc>
        <w:tc>
          <w:tcPr>
            <w:tcW w:w="664" w:type="pct"/>
            <w:tcBorders>
              <w:left w:val="single" w:sz="12" w:space="0" w:color="auto"/>
              <w:right w:val="single" w:sz="12" w:space="0" w:color="auto"/>
            </w:tcBorders>
            <w:shd w:val="clear" w:color="auto" w:fill="auto"/>
          </w:tcPr>
          <w:p w:rsidR="00F6663A" w:rsidRDefault="00F6663A" w:rsidP="00F6663A">
            <w:pPr>
              <w:jc w:val="center"/>
            </w:pPr>
            <w:r>
              <w:t>18.60</w:t>
            </w:r>
          </w:p>
        </w:tc>
        <w:tc>
          <w:tcPr>
            <w:tcW w:w="664" w:type="pct"/>
            <w:tcBorders>
              <w:top w:val="single" w:sz="4" w:space="0" w:color="auto"/>
              <w:left w:val="single" w:sz="12" w:space="0" w:color="auto"/>
              <w:bottom w:val="single" w:sz="4" w:space="0" w:color="auto"/>
              <w:right w:val="single" w:sz="4" w:space="0" w:color="auto"/>
            </w:tcBorders>
            <w:shd w:val="clear" w:color="auto" w:fill="auto"/>
            <w:vAlign w:val="bottom"/>
          </w:tcPr>
          <w:p w:rsidR="00F6663A" w:rsidRDefault="00F6663A" w:rsidP="00F6663A">
            <w:pPr>
              <w:jc w:val="center"/>
            </w:pPr>
            <w:r w:rsidRPr="00566066">
              <w:rPr>
                <w:rFonts w:ascii="Calibri" w:hAnsi="Calibri" w:cs="Calibri"/>
                <w:color w:val="000000"/>
              </w:rPr>
              <w:t>33.96</w:t>
            </w:r>
          </w:p>
        </w:tc>
        <w:tc>
          <w:tcPr>
            <w:tcW w:w="664" w:type="pct"/>
            <w:tcBorders>
              <w:top w:val="single" w:sz="4" w:space="0" w:color="auto"/>
              <w:left w:val="single" w:sz="12" w:space="0" w:color="auto"/>
              <w:bottom w:val="single" w:sz="4" w:space="0" w:color="auto"/>
              <w:right w:val="single" w:sz="4" w:space="0" w:color="auto"/>
            </w:tcBorders>
            <w:shd w:val="clear" w:color="auto" w:fill="auto"/>
            <w:vAlign w:val="bottom"/>
          </w:tcPr>
          <w:p w:rsidR="00F6663A" w:rsidRPr="00566066" w:rsidRDefault="005866B8" w:rsidP="00F6663A">
            <w:pPr>
              <w:jc w:val="center"/>
            </w:pPr>
            <w:r>
              <w:t>34.04</w:t>
            </w:r>
          </w:p>
        </w:tc>
        <w:tc>
          <w:tcPr>
            <w:tcW w:w="273" w:type="pct"/>
            <w:tcBorders>
              <w:left w:val="single" w:sz="12" w:space="0" w:color="auto"/>
            </w:tcBorders>
            <w:shd w:val="clear" w:color="auto" w:fill="auto"/>
          </w:tcPr>
          <w:p w:rsidR="00F6663A" w:rsidRDefault="00F6663A" w:rsidP="00F6663A">
            <w:pPr>
              <w:jc w:val="center"/>
            </w:pPr>
            <w:r w:rsidRPr="00566066">
              <w:rPr>
                <w:b/>
                <w:color w:val="00B050"/>
              </w:rPr>
              <w:t>↑</w:t>
            </w:r>
          </w:p>
        </w:tc>
      </w:tr>
      <w:tr w:rsidR="00F6663A" w:rsidRPr="00BC4F7A" w:rsidTr="00F6663A">
        <w:tc>
          <w:tcPr>
            <w:tcW w:w="2735" w:type="pct"/>
          </w:tcPr>
          <w:p w:rsidR="00F6663A" w:rsidRPr="00BC4F7A" w:rsidRDefault="00F6663A" w:rsidP="00F6663A">
            <w:pPr>
              <w:rPr>
                <w:szCs w:val="24"/>
              </w:rPr>
            </w:pPr>
            <w:r w:rsidRPr="00BC4F7A">
              <w:rPr>
                <w:szCs w:val="24"/>
              </w:rPr>
              <w:t xml:space="preserve">% </w:t>
            </w:r>
            <w:r w:rsidR="0049360E">
              <w:rPr>
                <w:szCs w:val="24"/>
              </w:rPr>
              <w:t>B</w:t>
            </w:r>
            <w:r>
              <w:rPr>
                <w:szCs w:val="24"/>
              </w:rPr>
              <w:t xml:space="preserve">onus </w:t>
            </w:r>
            <w:r w:rsidR="0049360E">
              <w:rPr>
                <w:szCs w:val="24"/>
              </w:rPr>
              <w:t>P</w:t>
            </w:r>
            <w:r>
              <w:rPr>
                <w:szCs w:val="24"/>
              </w:rPr>
              <w:t xml:space="preserve">ay </w:t>
            </w:r>
            <w:r w:rsidR="0049360E">
              <w:rPr>
                <w:szCs w:val="24"/>
              </w:rPr>
              <w:t>R</w:t>
            </w:r>
            <w:r>
              <w:rPr>
                <w:szCs w:val="24"/>
              </w:rPr>
              <w:t xml:space="preserve">ecipients </w:t>
            </w:r>
            <w:r w:rsidR="0049360E">
              <w:rPr>
                <w:szCs w:val="24"/>
              </w:rPr>
              <w:t>W</w:t>
            </w:r>
            <w:r>
              <w:rPr>
                <w:szCs w:val="24"/>
              </w:rPr>
              <w:t xml:space="preserve">ho </w:t>
            </w:r>
            <w:r w:rsidR="0049360E">
              <w:rPr>
                <w:szCs w:val="24"/>
              </w:rPr>
              <w:t>A</w:t>
            </w:r>
            <w:r>
              <w:rPr>
                <w:szCs w:val="24"/>
              </w:rPr>
              <w:t>re WB</w:t>
            </w:r>
          </w:p>
        </w:tc>
        <w:tc>
          <w:tcPr>
            <w:tcW w:w="664" w:type="pct"/>
            <w:tcBorders>
              <w:left w:val="single" w:sz="12" w:space="0" w:color="auto"/>
              <w:right w:val="single" w:sz="12" w:space="0" w:color="auto"/>
            </w:tcBorders>
            <w:shd w:val="clear" w:color="auto" w:fill="auto"/>
          </w:tcPr>
          <w:p w:rsidR="00F6663A" w:rsidRDefault="00F6663A" w:rsidP="00F6663A">
            <w:pPr>
              <w:jc w:val="center"/>
            </w:pPr>
            <w:r>
              <w:t>81.40</w:t>
            </w:r>
          </w:p>
        </w:tc>
        <w:tc>
          <w:tcPr>
            <w:tcW w:w="664" w:type="pct"/>
            <w:tcBorders>
              <w:top w:val="single" w:sz="4" w:space="0" w:color="auto"/>
              <w:left w:val="single" w:sz="12" w:space="0" w:color="auto"/>
              <w:bottom w:val="single" w:sz="12" w:space="0" w:color="auto"/>
              <w:right w:val="single" w:sz="4" w:space="0" w:color="auto"/>
            </w:tcBorders>
            <w:shd w:val="clear" w:color="auto" w:fill="auto"/>
            <w:vAlign w:val="bottom"/>
          </w:tcPr>
          <w:p w:rsidR="00F6663A" w:rsidRDefault="00F6663A" w:rsidP="00F6663A">
            <w:pPr>
              <w:jc w:val="center"/>
            </w:pPr>
            <w:r w:rsidRPr="00566066">
              <w:rPr>
                <w:rFonts w:ascii="Calibri" w:hAnsi="Calibri" w:cs="Calibri"/>
                <w:color w:val="000000"/>
              </w:rPr>
              <w:t>66.04</w:t>
            </w:r>
          </w:p>
        </w:tc>
        <w:tc>
          <w:tcPr>
            <w:tcW w:w="664" w:type="pct"/>
            <w:tcBorders>
              <w:top w:val="single" w:sz="4" w:space="0" w:color="auto"/>
              <w:left w:val="single" w:sz="12" w:space="0" w:color="auto"/>
              <w:bottom w:val="single" w:sz="12" w:space="0" w:color="auto"/>
              <w:right w:val="single" w:sz="4" w:space="0" w:color="auto"/>
            </w:tcBorders>
            <w:shd w:val="clear" w:color="auto" w:fill="auto"/>
            <w:vAlign w:val="bottom"/>
          </w:tcPr>
          <w:p w:rsidR="00F6663A" w:rsidRPr="00566066" w:rsidRDefault="005866B8" w:rsidP="00F6663A">
            <w:pPr>
              <w:jc w:val="center"/>
            </w:pPr>
            <w:r>
              <w:t>65.96</w:t>
            </w:r>
          </w:p>
        </w:tc>
        <w:tc>
          <w:tcPr>
            <w:tcW w:w="273" w:type="pct"/>
            <w:tcBorders>
              <w:left w:val="single" w:sz="12" w:space="0" w:color="auto"/>
            </w:tcBorders>
            <w:shd w:val="clear" w:color="auto" w:fill="auto"/>
          </w:tcPr>
          <w:p w:rsidR="00F6663A" w:rsidRDefault="00F6663A" w:rsidP="00F6663A">
            <w:pPr>
              <w:jc w:val="center"/>
            </w:pPr>
            <w:r w:rsidRPr="003F5D17">
              <w:rPr>
                <w:b/>
                <w:color w:val="00B050"/>
              </w:rPr>
              <w:t>↓</w:t>
            </w:r>
          </w:p>
        </w:tc>
      </w:tr>
      <w:tr w:rsidR="00F6663A" w:rsidRPr="00BC4F7A" w:rsidTr="00F6663A">
        <w:tc>
          <w:tcPr>
            <w:tcW w:w="2735" w:type="pct"/>
            <w:tcBorders>
              <w:top w:val="single" w:sz="12" w:space="0" w:color="auto"/>
            </w:tcBorders>
          </w:tcPr>
          <w:p w:rsidR="00F6663A" w:rsidRPr="00BC4F7A" w:rsidRDefault="00F6663A" w:rsidP="00F6663A">
            <w:pPr>
              <w:rPr>
                <w:szCs w:val="24"/>
              </w:rPr>
            </w:pPr>
            <w:r>
              <w:rPr>
                <w:szCs w:val="24"/>
              </w:rPr>
              <w:t>Quartile 1 % BAME+</w:t>
            </w:r>
          </w:p>
        </w:tc>
        <w:tc>
          <w:tcPr>
            <w:tcW w:w="664" w:type="pct"/>
            <w:tcBorders>
              <w:top w:val="single" w:sz="12" w:space="0" w:color="auto"/>
              <w:left w:val="single" w:sz="12" w:space="0" w:color="auto"/>
            </w:tcBorders>
            <w:shd w:val="clear" w:color="auto" w:fill="auto"/>
          </w:tcPr>
          <w:p w:rsidR="00F6663A" w:rsidRDefault="00F6663A" w:rsidP="00F6663A">
            <w:pPr>
              <w:jc w:val="center"/>
            </w:pPr>
            <w:r>
              <w:t>16.80</w:t>
            </w:r>
          </w:p>
        </w:tc>
        <w:tc>
          <w:tcPr>
            <w:tcW w:w="664" w:type="pct"/>
            <w:tcBorders>
              <w:top w:val="single" w:sz="12" w:space="0" w:color="auto"/>
              <w:left w:val="single" w:sz="12" w:space="0" w:color="auto"/>
            </w:tcBorders>
            <w:shd w:val="clear" w:color="auto" w:fill="auto"/>
          </w:tcPr>
          <w:p w:rsidR="00F6663A" w:rsidRDefault="00F6663A" w:rsidP="00F6663A">
            <w:pPr>
              <w:jc w:val="center"/>
            </w:pPr>
            <w:r>
              <w:t>17.76</w:t>
            </w:r>
          </w:p>
        </w:tc>
        <w:tc>
          <w:tcPr>
            <w:tcW w:w="664" w:type="pct"/>
            <w:tcBorders>
              <w:top w:val="single" w:sz="12" w:space="0" w:color="auto"/>
              <w:left w:val="single" w:sz="12" w:space="0" w:color="auto"/>
            </w:tcBorders>
            <w:shd w:val="clear" w:color="auto" w:fill="auto"/>
          </w:tcPr>
          <w:p w:rsidR="00F6663A" w:rsidRPr="00B62451" w:rsidRDefault="007F7265" w:rsidP="00F6663A">
            <w:pPr>
              <w:jc w:val="center"/>
            </w:pPr>
            <w:r>
              <w:t>21.45</w:t>
            </w:r>
          </w:p>
        </w:tc>
        <w:tc>
          <w:tcPr>
            <w:tcW w:w="273" w:type="pct"/>
            <w:tcBorders>
              <w:top w:val="single" w:sz="12" w:space="0" w:color="auto"/>
              <w:left w:val="single" w:sz="12" w:space="0" w:color="auto"/>
            </w:tcBorders>
            <w:shd w:val="clear" w:color="auto" w:fill="auto"/>
          </w:tcPr>
          <w:p w:rsidR="00F6663A" w:rsidRDefault="00F6663A" w:rsidP="00F6663A">
            <w:pPr>
              <w:jc w:val="center"/>
            </w:pPr>
            <w:r w:rsidRPr="003F5D17">
              <w:rPr>
                <w:b/>
                <w:color w:val="00B050"/>
              </w:rPr>
              <w:t>↑</w:t>
            </w:r>
          </w:p>
        </w:tc>
      </w:tr>
      <w:tr w:rsidR="00F6663A" w:rsidRPr="00BC4F7A" w:rsidTr="00F6663A">
        <w:tc>
          <w:tcPr>
            <w:tcW w:w="2735" w:type="pct"/>
          </w:tcPr>
          <w:p w:rsidR="00F6663A" w:rsidRPr="00BC4F7A" w:rsidRDefault="00F6663A" w:rsidP="00F6663A">
            <w:pPr>
              <w:rPr>
                <w:szCs w:val="24"/>
              </w:rPr>
            </w:pPr>
            <w:r w:rsidRPr="00BC4F7A">
              <w:rPr>
                <w:szCs w:val="24"/>
              </w:rPr>
              <w:t xml:space="preserve">Quartile 2 % </w:t>
            </w:r>
            <w:r>
              <w:rPr>
                <w:szCs w:val="24"/>
              </w:rPr>
              <w:t>BAME+</w:t>
            </w:r>
          </w:p>
        </w:tc>
        <w:tc>
          <w:tcPr>
            <w:tcW w:w="664" w:type="pct"/>
            <w:tcBorders>
              <w:left w:val="single" w:sz="12" w:space="0" w:color="auto"/>
            </w:tcBorders>
            <w:shd w:val="clear" w:color="auto" w:fill="auto"/>
          </w:tcPr>
          <w:p w:rsidR="00F6663A" w:rsidRDefault="00F6663A" w:rsidP="00F6663A">
            <w:pPr>
              <w:jc w:val="center"/>
            </w:pPr>
            <w:r>
              <w:t>20.43</w:t>
            </w:r>
          </w:p>
        </w:tc>
        <w:tc>
          <w:tcPr>
            <w:tcW w:w="664" w:type="pct"/>
            <w:tcBorders>
              <w:left w:val="single" w:sz="12" w:space="0" w:color="auto"/>
            </w:tcBorders>
            <w:shd w:val="clear" w:color="auto" w:fill="auto"/>
          </w:tcPr>
          <w:p w:rsidR="00F6663A" w:rsidRDefault="00F6663A" w:rsidP="00F6663A">
            <w:pPr>
              <w:jc w:val="center"/>
            </w:pPr>
            <w:r>
              <w:t>23.21</w:t>
            </w:r>
          </w:p>
        </w:tc>
        <w:tc>
          <w:tcPr>
            <w:tcW w:w="664" w:type="pct"/>
            <w:tcBorders>
              <w:left w:val="single" w:sz="12" w:space="0" w:color="auto"/>
            </w:tcBorders>
            <w:shd w:val="clear" w:color="auto" w:fill="auto"/>
          </w:tcPr>
          <w:p w:rsidR="00F6663A" w:rsidRPr="00B62451" w:rsidRDefault="007F7265" w:rsidP="00F6663A">
            <w:pPr>
              <w:jc w:val="center"/>
            </w:pPr>
            <w:r>
              <w:t>22.13</w:t>
            </w:r>
          </w:p>
        </w:tc>
        <w:tc>
          <w:tcPr>
            <w:tcW w:w="273" w:type="pct"/>
            <w:tcBorders>
              <w:left w:val="single" w:sz="12" w:space="0" w:color="auto"/>
            </w:tcBorders>
            <w:shd w:val="clear" w:color="auto" w:fill="auto"/>
          </w:tcPr>
          <w:p w:rsidR="00F6663A" w:rsidRDefault="007F7265" w:rsidP="00F6663A">
            <w:pPr>
              <w:jc w:val="center"/>
            </w:pPr>
            <w:r w:rsidRPr="003F5D17">
              <w:rPr>
                <w:b/>
                <w:color w:val="FF0000"/>
              </w:rPr>
              <w:t>↓</w:t>
            </w:r>
          </w:p>
        </w:tc>
      </w:tr>
      <w:tr w:rsidR="00F6663A" w:rsidRPr="00BC4F7A" w:rsidTr="00F6663A">
        <w:tc>
          <w:tcPr>
            <w:tcW w:w="2735" w:type="pct"/>
          </w:tcPr>
          <w:p w:rsidR="00F6663A" w:rsidRPr="00BC4F7A" w:rsidRDefault="00F6663A" w:rsidP="00F6663A">
            <w:pPr>
              <w:rPr>
                <w:szCs w:val="24"/>
              </w:rPr>
            </w:pPr>
            <w:r>
              <w:rPr>
                <w:szCs w:val="24"/>
              </w:rPr>
              <w:t>Quartile 3 % BAME+</w:t>
            </w:r>
          </w:p>
        </w:tc>
        <w:tc>
          <w:tcPr>
            <w:tcW w:w="664" w:type="pct"/>
            <w:tcBorders>
              <w:left w:val="single" w:sz="12" w:space="0" w:color="auto"/>
            </w:tcBorders>
            <w:shd w:val="clear" w:color="auto" w:fill="auto"/>
          </w:tcPr>
          <w:p w:rsidR="00F6663A" w:rsidRDefault="00F6663A" w:rsidP="00F6663A">
            <w:pPr>
              <w:jc w:val="center"/>
            </w:pPr>
            <w:r>
              <w:t>35.21</w:t>
            </w:r>
          </w:p>
        </w:tc>
        <w:tc>
          <w:tcPr>
            <w:tcW w:w="664" w:type="pct"/>
            <w:tcBorders>
              <w:left w:val="single" w:sz="12" w:space="0" w:color="auto"/>
            </w:tcBorders>
            <w:shd w:val="clear" w:color="auto" w:fill="auto"/>
          </w:tcPr>
          <w:p w:rsidR="00F6663A" w:rsidRDefault="00F6663A" w:rsidP="00F6663A">
            <w:pPr>
              <w:jc w:val="center"/>
            </w:pPr>
            <w:r>
              <w:t>34.63</w:t>
            </w:r>
          </w:p>
        </w:tc>
        <w:tc>
          <w:tcPr>
            <w:tcW w:w="664" w:type="pct"/>
            <w:tcBorders>
              <w:left w:val="single" w:sz="12" w:space="0" w:color="auto"/>
            </w:tcBorders>
            <w:shd w:val="clear" w:color="auto" w:fill="auto"/>
          </w:tcPr>
          <w:p w:rsidR="00F6663A" w:rsidRPr="00B62451" w:rsidRDefault="007F7265" w:rsidP="00F6663A">
            <w:pPr>
              <w:jc w:val="center"/>
            </w:pPr>
            <w:r>
              <w:t>34.97</w:t>
            </w:r>
          </w:p>
        </w:tc>
        <w:tc>
          <w:tcPr>
            <w:tcW w:w="273" w:type="pct"/>
            <w:tcBorders>
              <w:left w:val="single" w:sz="12" w:space="0" w:color="auto"/>
            </w:tcBorders>
            <w:shd w:val="clear" w:color="auto" w:fill="auto"/>
          </w:tcPr>
          <w:p w:rsidR="00F6663A" w:rsidRDefault="007F7265" w:rsidP="00F6663A">
            <w:pPr>
              <w:jc w:val="center"/>
            </w:pPr>
            <w:r w:rsidRPr="003F5D17">
              <w:rPr>
                <w:b/>
                <w:color w:val="00B050"/>
              </w:rPr>
              <w:t>↑</w:t>
            </w:r>
          </w:p>
        </w:tc>
      </w:tr>
      <w:tr w:rsidR="00F6663A" w:rsidRPr="00BC4F7A" w:rsidTr="00F6663A">
        <w:tc>
          <w:tcPr>
            <w:tcW w:w="2735" w:type="pct"/>
            <w:tcBorders>
              <w:bottom w:val="single" w:sz="12" w:space="0" w:color="auto"/>
            </w:tcBorders>
          </w:tcPr>
          <w:p w:rsidR="00F6663A" w:rsidRPr="00BC4F7A" w:rsidRDefault="00F6663A" w:rsidP="00F6663A">
            <w:pPr>
              <w:rPr>
                <w:szCs w:val="24"/>
              </w:rPr>
            </w:pPr>
            <w:r>
              <w:rPr>
                <w:szCs w:val="24"/>
              </w:rPr>
              <w:t>Quartile 4 % BAME+</w:t>
            </w:r>
          </w:p>
        </w:tc>
        <w:tc>
          <w:tcPr>
            <w:tcW w:w="664" w:type="pct"/>
            <w:tcBorders>
              <w:left w:val="single" w:sz="12" w:space="0" w:color="auto"/>
              <w:bottom w:val="single" w:sz="12" w:space="0" w:color="auto"/>
            </w:tcBorders>
            <w:shd w:val="clear" w:color="auto" w:fill="auto"/>
          </w:tcPr>
          <w:p w:rsidR="00F6663A" w:rsidRDefault="00F6663A" w:rsidP="00F6663A">
            <w:pPr>
              <w:jc w:val="center"/>
            </w:pPr>
            <w:r>
              <w:t>32.34</w:t>
            </w:r>
          </w:p>
        </w:tc>
        <w:tc>
          <w:tcPr>
            <w:tcW w:w="664" w:type="pct"/>
            <w:tcBorders>
              <w:left w:val="single" w:sz="12" w:space="0" w:color="auto"/>
              <w:bottom w:val="single" w:sz="12" w:space="0" w:color="auto"/>
            </w:tcBorders>
            <w:shd w:val="clear" w:color="auto" w:fill="auto"/>
          </w:tcPr>
          <w:p w:rsidR="00F6663A" w:rsidRDefault="00F6663A" w:rsidP="00F6663A">
            <w:pPr>
              <w:jc w:val="center"/>
            </w:pPr>
            <w:r>
              <w:t>33.48</w:t>
            </w:r>
          </w:p>
        </w:tc>
        <w:tc>
          <w:tcPr>
            <w:tcW w:w="664" w:type="pct"/>
            <w:tcBorders>
              <w:left w:val="single" w:sz="12" w:space="0" w:color="auto"/>
              <w:bottom w:val="single" w:sz="12" w:space="0" w:color="auto"/>
            </w:tcBorders>
            <w:shd w:val="clear" w:color="auto" w:fill="auto"/>
          </w:tcPr>
          <w:p w:rsidR="00F6663A" w:rsidRPr="00B62451" w:rsidRDefault="007F7265" w:rsidP="00F6663A">
            <w:pPr>
              <w:jc w:val="center"/>
            </w:pPr>
            <w:r>
              <w:t>31.99</w:t>
            </w:r>
          </w:p>
        </w:tc>
        <w:tc>
          <w:tcPr>
            <w:tcW w:w="273" w:type="pct"/>
            <w:tcBorders>
              <w:left w:val="single" w:sz="12" w:space="0" w:color="auto"/>
              <w:bottom w:val="single" w:sz="12" w:space="0" w:color="auto"/>
            </w:tcBorders>
            <w:shd w:val="clear" w:color="auto" w:fill="auto"/>
          </w:tcPr>
          <w:p w:rsidR="00F6663A" w:rsidRDefault="007F7265" w:rsidP="00F6663A">
            <w:pPr>
              <w:jc w:val="center"/>
            </w:pPr>
            <w:r w:rsidRPr="003F5D17">
              <w:rPr>
                <w:b/>
                <w:color w:val="FF0000"/>
              </w:rPr>
              <w:t>↓</w:t>
            </w:r>
          </w:p>
        </w:tc>
      </w:tr>
    </w:tbl>
    <w:p w:rsidR="00BD52F0" w:rsidRDefault="00BD52F0">
      <w:pPr>
        <w:rPr>
          <w:b/>
        </w:rPr>
      </w:pPr>
    </w:p>
    <w:p w:rsidR="00747866" w:rsidRDefault="00747866" w:rsidP="00747866">
      <w:pPr>
        <w:keepNext/>
      </w:pPr>
      <w:r>
        <w:rPr>
          <w:noProof/>
        </w:rPr>
        <w:lastRenderedPageBreak/>
        <w:drawing>
          <wp:inline distT="0" distB="0" distL="0" distR="0" wp14:anchorId="7A684CFF" wp14:editId="055314E4">
            <wp:extent cx="5759450" cy="2810107"/>
            <wp:effectExtent l="0" t="0" r="12700" b="9525"/>
            <wp:docPr id="11" name="Chart 11">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47866" w:rsidRDefault="00747866" w:rsidP="00747866">
      <w:pPr>
        <w:pStyle w:val="Caption"/>
        <w:spacing w:before="200"/>
        <w:rPr>
          <w:i w:val="0"/>
          <w:color w:val="auto"/>
        </w:rPr>
      </w:pPr>
      <w:bookmarkStart w:id="19" w:name="_Toc118197723"/>
      <w:r w:rsidRPr="00B72929">
        <w:rPr>
          <w:i w:val="0"/>
          <w:color w:val="auto"/>
        </w:rPr>
        <w:t>Figure</w:t>
      </w:r>
      <w:r w:rsidR="005541EA">
        <w:rPr>
          <w:i w:val="0"/>
          <w:color w:val="auto"/>
        </w:rPr>
        <w:t xml:space="preserve"> 3</w:t>
      </w:r>
      <w:r w:rsidRPr="00B72929">
        <w:rPr>
          <w:i w:val="0"/>
          <w:color w:val="auto"/>
        </w:rPr>
        <w:t>: FPR BAME+ Population by Grade 202</w:t>
      </w:r>
      <w:r>
        <w:rPr>
          <w:i w:val="0"/>
          <w:color w:val="auto"/>
        </w:rPr>
        <w:t>2</w:t>
      </w:r>
      <w:bookmarkEnd w:id="19"/>
    </w:p>
    <w:p w:rsidR="00747866" w:rsidRDefault="00A14864" w:rsidP="00AC7373">
      <w:r>
        <w:rPr>
          <w:noProof/>
        </w:rPr>
        <w:drawing>
          <wp:inline distT="0" distB="0" distL="0" distR="0" wp14:anchorId="56AD4F75" wp14:editId="11E886CB">
            <wp:extent cx="5898114" cy="2910254"/>
            <wp:effectExtent l="0" t="0" r="762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548" t="-1" r="-1" b="2053"/>
                    <a:stretch/>
                  </pic:blipFill>
                  <pic:spPr bwMode="auto">
                    <a:xfrm>
                      <a:off x="0" y="0"/>
                      <a:ext cx="5974626" cy="2948007"/>
                    </a:xfrm>
                    <a:prstGeom prst="rect">
                      <a:avLst/>
                    </a:prstGeom>
                    <a:ln>
                      <a:noFill/>
                    </a:ln>
                    <a:extLst>
                      <a:ext uri="{53640926-AAD7-44D8-BBD7-CCE9431645EC}">
                        <a14:shadowObscured xmlns:a14="http://schemas.microsoft.com/office/drawing/2010/main"/>
                      </a:ext>
                    </a:extLst>
                  </pic:spPr>
                </pic:pic>
              </a:graphicData>
            </a:graphic>
          </wp:inline>
        </w:drawing>
      </w:r>
    </w:p>
    <w:p w:rsidR="00747866" w:rsidRDefault="00747866" w:rsidP="00747866">
      <w:pPr>
        <w:pStyle w:val="Caption"/>
        <w:spacing w:before="200"/>
        <w:rPr>
          <w:noProof/>
        </w:rPr>
      </w:pPr>
      <w:bookmarkStart w:id="20" w:name="_Toc118197725"/>
      <w:r w:rsidRPr="00B72929">
        <w:rPr>
          <w:i w:val="0"/>
          <w:color w:val="auto"/>
        </w:rPr>
        <w:t>Figure</w:t>
      </w:r>
      <w:r w:rsidR="005541EA">
        <w:rPr>
          <w:i w:val="0"/>
          <w:color w:val="auto"/>
        </w:rPr>
        <w:t xml:space="preserve"> 4</w:t>
      </w:r>
      <w:r w:rsidRPr="00B72929">
        <w:rPr>
          <w:i w:val="0"/>
          <w:color w:val="auto"/>
        </w:rPr>
        <w:t>: FPR</w:t>
      </w:r>
      <w:r>
        <w:rPr>
          <w:i w:val="0"/>
          <w:color w:val="auto"/>
        </w:rPr>
        <w:t>E</w:t>
      </w:r>
      <w:r w:rsidRPr="00B72929">
        <w:rPr>
          <w:i w:val="0"/>
          <w:color w:val="auto"/>
        </w:rPr>
        <w:t xml:space="preserve"> BAME+</w:t>
      </w:r>
      <w:r>
        <w:rPr>
          <w:i w:val="0"/>
          <w:color w:val="auto"/>
        </w:rPr>
        <w:t xml:space="preserve"> %</w:t>
      </w:r>
      <w:r w:rsidRPr="00B72929">
        <w:rPr>
          <w:i w:val="0"/>
          <w:color w:val="auto"/>
        </w:rPr>
        <w:t xml:space="preserve"> by </w:t>
      </w:r>
      <w:r>
        <w:rPr>
          <w:i w:val="0"/>
          <w:color w:val="auto"/>
        </w:rPr>
        <w:t xml:space="preserve">Job Group </w:t>
      </w:r>
      <w:r w:rsidRPr="00B72929">
        <w:rPr>
          <w:i w:val="0"/>
          <w:color w:val="auto"/>
        </w:rPr>
        <w:t>202</w:t>
      </w:r>
      <w:r>
        <w:rPr>
          <w:i w:val="0"/>
          <w:color w:val="auto"/>
        </w:rPr>
        <w:t>2</w:t>
      </w:r>
      <w:bookmarkEnd w:id="20"/>
      <w:r w:rsidR="002050BE" w:rsidRPr="002050BE">
        <w:rPr>
          <w:noProof/>
        </w:rPr>
        <w:t xml:space="preserve"> </w:t>
      </w:r>
    </w:p>
    <w:p w:rsidR="00A55CA4" w:rsidRPr="00AC7373" w:rsidRDefault="00A55CA4" w:rsidP="00AC7373"/>
    <w:p w:rsidR="0041777A" w:rsidRPr="00770E58" w:rsidRDefault="00770E58" w:rsidP="00E80D9B">
      <w:pPr>
        <w:pStyle w:val="Heading2"/>
        <w:numPr>
          <w:ilvl w:val="1"/>
          <w:numId w:val="6"/>
        </w:numPr>
      </w:pPr>
      <w:bookmarkStart w:id="21" w:name="_Toc125731584"/>
      <w:r w:rsidRPr="00770E58">
        <w:t>People of Colour Pay Gap</w:t>
      </w:r>
      <w:bookmarkEnd w:id="21"/>
    </w:p>
    <w:p w:rsidR="0041777A" w:rsidRPr="008F1C77" w:rsidRDefault="00D366C0" w:rsidP="006113B3">
      <w:pPr>
        <w:rPr>
          <w:i/>
        </w:rPr>
      </w:pPr>
      <w:r>
        <w:t xml:space="preserve">A </w:t>
      </w:r>
      <w:r w:rsidRPr="008D455D">
        <w:t xml:space="preserve">positive </w:t>
      </w:r>
      <w:r w:rsidRPr="008D455D">
        <w:rPr>
          <w:b/>
        </w:rPr>
        <w:t>black</w:t>
      </w:r>
      <w:r>
        <w:rPr>
          <w:b/>
        </w:rPr>
        <w:t xml:space="preserve"> </w:t>
      </w:r>
      <w:r w:rsidRPr="00D366C0">
        <w:t>number</w:t>
      </w:r>
      <w:r>
        <w:t xml:space="preserve"> </w:t>
      </w:r>
      <w:r w:rsidRPr="008D455D">
        <w:t xml:space="preserve">means that there is a pay gap in favour </w:t>
      </w:r>
      <w:r>
        <w:t>of the White group</w:t>
      </w:r>
      <w:r w:rsidRPr="008D455D">
        <w:t>, where</w:t>
      </w:r>
      <w:r>
        <w:t>as</w:t>
      </w:r>
      <w:r w:rsidRPr="008D455D">
        <w:t xml:space="preserve"> a negative </w:t>
      </w:r>
      <w:r w:rsidRPr="008D455D">
        <w:rPr>
          <w:b/>
          <w:color w:val="FF0000"/>
        </w:rPr>
        <w:t>red</w:t>
      </w:r>
      <w:r>
        <w:rPr>
          <w:b/>
          <w:color w:val="FF0000"/>
        </w:rPr>
        <w:t xml:space="preserve"> </w:t>
      </w:r>
      <w:r w:rsidRPr="00D366C0">
        <w:t xml:space="preserve">number </w:t>
      </w:r>
      <w:r w:rsidRPr="008D455D">
        <w:t xml:space="preserve">means that there is a pay gap in favour of </w:t>
      </w:r>
      <w:r>
        <w:t xml:space="preserve">the People of </w:t>
      </w:r>
      <w:r w:rsidRPr="00D366C0">
        <w:t xml:space="preserve">Colour group. The </w:t>
      </w:r>
      <w:r w:rsidR="00C956F5" w:rsidRPr="00D366C0">
        <w:t>White</w:t>
      </w:r>
      <w:r w:rsidRPr="00D366C0">
        <w:t xml:space="preserve"> group includes </w:t>
      </w:r>
      <w:r w:rsidR="00254D5A" w:rsidRPr="00D366C0">
        <w:t xml:space="preserve">White British, </w:t>
      </w:r>
      <w:r w:rsidRPr="00D366C0">
        <w:t>White Irish, White Other, and Gypsy</w:t>
      </w:r>
      <w:r>
        <w:t>/Traveller</w:t>
      </w:r>
      <w:r w:rsidRPr="00D366C0">
        <w:t xml:space="preserve">. The People of Colour group includes </w:t>
      </w:r>
      <w:r w:rsidR="00254D5A" w:rsidRPr="00D366C0">
        <w:t xml:space="preserve">Black, Asian, Mixed, </w:t>
      </w:r>
      <w:r w:rsidRPr="00D366C0">
        <w:t xml:space="preserve">and Other </w:t>
      </w:r>
      <w:r w:rsidRPr="008F1C77">
        <w:t>Minority</w:t>
      </w:r>
      <w:r w:rsidR="00254D5A" w:rsidRPr="008F1C77">
        <w:t xml:space="preserve"> </w:t>
      </w:r>
      <w:r w:rsidR="0072671F" w:rsidRPr="008F1C77">
        <w:t>Ethnic</w:t>
      </w:r>
      <w:r w:rsidRPr="008F1C77">
        <w:t xml:space="preserve"> groups. </w:t>
      </w:r>
    </w:p>
    <w:p w:rsidR="00E236F3" w:rsidRDefault="009E7D1F" w:rsidP="00653777">
      <w:r w:rsidRPr="008F1C77">
        <w:t xml:space="preserve">Of the </w:t>
      </w:r>
      <w:r w:rsidR="001776E8" w:rsidRPr="008F1C77">
        <w:t>6451</w:t>
      </w:r>
      <w:r w:rsidR="00653E03" w:rsidRPr="008F1C77">
        <w:t xml:space="preserve"> full pay relevant employees included in the calculation</w:t>
      </w:r>
      <w:r w:rsidRPr="008F1C77">
        <w:t xml:space="preserve">, </w:t>
      </w:r>
      <w:r w:rsidR="008F1C77" w:rsidRPr="008F1C77">
        <w:t>13.75</w:t>
      </w:r>
      <w:r w:rsidR="00653E03" w:rsidRPr="008F1C77">
        <w:t xml:space="preserve">% </w:t>
      </w:r>
      <w:r w:rsidR="00921FD2" w:rsidRPr="008F1C77">
        <w:t xml:space="preserve">were </w:t>
      </w:r>
      <w:r w:rsidR="0073739F" w:rsidRPr="008F1C77">
        <w:t>P</w:t>
      </w:r>
      <w:r w:rsidR="00100881">
        <w:t>O</w:t>
      </w:r>
      <w:r w:rsidR="0073739F" w:rsidRPr="008F1C77">
        <w:t>C</w:t>
      </w:r>
      <w:r w:rsidRPr="008F1C77">
        <w:t xml:space="preserve"> and </w:t>
      </w:r>
      <w:r w:rsidR="008F1C77" w:rsidRPr="008F1C77">
        <w:t>86.25</w:t>
      </w:r>
      <w:r w:rsidR="00653E03" w:rsidRPr="008F1C77">
        <w:t>% were White:</w:t>
      </w:r>
      <w:r w:rsidR="006134AC">
        <w:t xml:space="preserve"> </w:t>
      </w:r>
    </w:p>
    <w:p w:rsidR="00A55CA4" w:rsidRDefault="00A55CA4" w:rsidP="00653777"/>
    <w:p w:rsidR="00A55CA4" w:rsidRPr="00AC7373" w:rsidRDefault="00A55CA4" w:rsidP="00AC7373">
      <w:pPr>
        <w:pStyle w:val="NoSpacing"/>
        <w:rPr>
          <w:sz w:val="4"/>
          <w:szCs w:val="4"/>
        </w:rPr>
      </w:pPr>
    </w:p>
    <w:p w:rsidR="00AD203C" w:rsidRDefault="00AD203C" w:rsidP="002B0327">
      <w:pPr>
        <w:pStyle w:val="Caption"/>
        <w:spacing w:before="200"/>
        <w:rPr>
          <w:i w:val="0"/>
          <w:color w:val="auto"/>
        </w:rPr>
      </w:pPr>
      <w:bookmarkStart w:id="22" w:name="_Toc119569372"/>
      <w:r w:rsidRPr="004205C1">
        <w:rPr>
          <w:i w:val="0"/>
          <w:color w:val="auto"/>
        </w:rPr>
        <w:lastRenderedPageBreak/>
        <w:t xml:space="preserve">Table </w:t>
      </w:r>
      <w:r w:rsidRPr="004205C1">
        <w:rPr>
          <w:i w:val="0"/>
          <w:color w:val="auto"/>
        </w:rPr>
        <w:fldChar w:fldCharType="begin"/>
      </w:r>
      <w:r w:rsidRPr="004205C1">
        <w:rPr>
          <w:i w:val="0"/>
          <w:color w:val="auto"/>
        </w:rPr>
        <w:instrText xml:space="preserve"> SEQ Table \* ARABIC </w:instrText>
      </w:r>
      <w:r w:rsidRPr="004205C1">
        <w:rPr>
          <w:i w:val="0"/>
          <w:color w:val="auto"/>
        </w:rPr>
        <w:fldChar w:fldCharType="separate"/>
      </w:r>
      <w:r w:rsidR="005541EA">
        <w:rPr>
          <w:i w:val="0"/>
          <w:noProof/>
          <w:color w:val="auto"/>
        </w:rPr>
        <w:t>8</w:t>
      </w:r>
      <w:r w:rsidRPr="004205C1">
        <w:rPr>
          <w:i w:val="0"/>
          <w:color w:val="auto"/>
        </w:rPr>
        <w:fldChar w:fldCharType="end"/>
      </w:r>
      <w:r w:rsidRPr="004205C1">
        <w:rPr>
          <w:i w:val="0"/>
          <w:color w:val="auto"/>
        </w:rPr>
        <w:t xml:space="preserve">: Statutory People of Colour Pay Gap </w:t>
      </w:r>
      <w:r w:rsidR="0025353B">
        <w:rPr>
          <w:i w:val="0"/>
          <w:color w:val="auto"/>
        </w:rPr>
        <w:t>D</w:t>
      </w:r>
      <w:r w:rsidRPr="004205C1">
        <w:rPr>
          <w:i w:val="0"/>
          <w:color w:val="auto"/>
        </w:rPr>
        <w:t>ata</w:t>
      </w:r>
      <w:bookmarkEnd w:id="22"/>
    </w:p>
    <w:tbl>
      <w:tblPr>
        <w:tblStyle w:val="TableGrid"/>
        <w:tblW w:w="5000" w:type="pct"/>
        <w:tblLook w:val="04A0" w:firstRow="1" w:lastRow="0" w:firstColumn="1" w:lastColumn="0" w:noHBand="0" w:noVBand="1"/>
        <w:tblCaption w:val="Statutory People of Colour Pay Gap Data"/>
        <w:tblDescription w:val="2017 to 2020"/>
      </w:tblPr>
      <w:tblGrid>
        <w:gridCol w:w="4934"/>
        <w:gridCol w:w="1198"/>
        <w:gridCol w:w="1198"/>
        <w:gridCol w:w="1198"/>
        <w:gridCol w:w="493"/>
      </w:tblGrid>
      <w:tr w:rsidR="00F6663A" w:rsidRPr="00BC4F7A" w:rsidTr="00BA62A9">
        <w:trPr>
          <w:tblHeader/>
        </w:trPr>
        <w:tc>
          <w:tcPr>
            <w:tcW w:w="2735" w:type="pct"/>
            <w:tcBorders>
              <w:right w:val="single" w:sz="12" w:space="0" w:color="auto"/>
            </w:tcBorders>
            <w:shd w:val="clear" w:color="auto" w:fill="D9D9D9" w:themeFill="background1" w:themeFillShade="D9"/>
          </w:tcPr>
          <w:p w:rsidR="00F6663A" w:rsidRPr="00BC4F7A" w:rsidRDefault="00F6663A" w:rsidP="00F6663A">
            <w:pPr>
              <w:rPr>
                <w:b/>
                <w:szCs w:val="24"/>
              </w:rPr>
            </w:pPr>
          </w:p>
        </w:tc>
        <w:tc>
          <w:tcPr>
            <w:tcW w:w="664" w:type="pct"/>
            <w:tcBorders>
              <w:left w:val="single" w:sz="12" w:space="0" w:color="auto"/>
              <w:right w:val="single" w:sz="12" w:space="0" w:color="auto"/>
            </w:tcBorders>
            <w:shd w:val="clear" w:color="auto" w:fill="D9D9D9" w:themeFill="background1" w:themeFillShade="D9"/>
          </w:tcPr>
          <w:p w:rsidR="00F6663A" w:rsidRPr="00BC4F7A" w:rsidRDefault="00F6663A" w:rsidP="00F6663A">
            <w:pPr>
              <w:jc w:val="center"/>
              <w:rPr>
                <w:b/>
                <w:szCs w:val="24"/>
              </w:rPr>
            </w:pPr>
            <w:r w:rsidRPr="00BC4F7A">
              <w:rPr>
                <w:b/>
                <w:szCs w:val="24"/>
              </w:rPr>
              <w:t>2020</w:t>
            </w:r>
          </w:p>
        </w:tc>
        <w:tc>
          <w:tcPr>
            <w:tcW w:w="664" w:type="pct"/>
            <w:tcBorders>
              <w:right w:val="single" w:sz="12" w:space="0" w:color="auto"/>
            </w:tcBorders>
            <w:shd w:val="clear" w:color="auto" w:fill="D9D9D9" w:themeFill="background1" w:themeFillShade="D9"/>
          </w:tcPr>
          <w:p w:rsidR="00F6663A" w:rsidRPr="00BC4F7A" w:rsidRDefault="00F6663A" w:rsidP="00F6663A">
            <w:pPr>
              <w:jc w:val="center"/>
              <w:rPr>
                <w:b/>
                <w:szCs w:val="24"/>
              </w:rPr>
            </w:pPr>
            <w:r>
              <w:rPr>
                <w:b/>
                <w:szCs w:val="24"/>
              </w:rPr>
              <w:t>2021</w:t>
            </w:r>
          </w:p>
        </w:tc>
        <w:tc>
          <w:tcPr>
            <w:tcW w:w="664" w:type="pct"/>
            <w:tcBorders>
              <w:right w:val="single" w:sz="12" w:space="0" w:color="auto"/>
            </w:tcBorders>
            <w:shd w:val="clear" w:color="auto" w:fill="D9D9D9" w:themeFill="background1" w:themeFillShade="D9"/>
          </w:tcPr>
          <w:p w:rsidR="00F6663A" w:rsidRPr="00BC4F7A" w:rsidRDefault="00F6663A" w:rsidP="00F6663A">
            <w:pPr>
              <w:jc w:val="center"/>
              <w:rPr>
                <w:b/>
                <w:szCs w:val="24"/>
              </w:rPr>
            </w:pPr>
            <w:r>
              <w:rPr>
                <w:b/>
                <w:szCs w:val="24"/>
              </w:rPr>
              <w:t>2022</w:t>
            </w:r>
          </w:p>
        </w:tc>
        <w:tc>
          <w:tcPr>
            <w:tcW w:w="273" w:type="pct"/>
            <w:tcBorders>
              <w:top w:val="nil"/>
              <w:left w:val="single" w:sz="12" w:space="0" w:color="auto"/>
              <w:right w:val="nil"/>
            </w:tcBorders>
            <w:shd w:val="clear" w:color="auto" w:fill="auto"/>
          </w:tcPr>
          <w:p w:rsidR="00F6663A" w:rsidRPr="00BC4F7A" w:rsidRDefault="00F6663A" w:rsidP="00F6663A">
            <w:pPr>
              <w:jc w:val="center"/>
              <w:rPr>
                <w:b/>
                <w:szCs w:val="24"/>
              </w:rPr>
            </w:pPr>
          </w:p>
        </w:tc>
      </w:tr>
      <w:tr w:rsidR="00F6663A" w:rsidRPr="00BC4F7A" w:rsidTr="00F6663A">
        <w:tc>
          <w:tcPr>
            <w:tcW w:w="2735" w:type="pct"/>
            <w:shd w:val="clear" w:color="auto" w:fill="auto"/>
          </w:tcPr>
          <w:p w:rsidR="00F6663A" w:rsidRPr="00BC4F7A" w:rsidRDefault="00F6663A" w:rsidP="00F6663A">
            <w:pPr>
              <w:rPr>
                <w:szCs w:val="24"/>
              </w:rPr>
            </w:pPr>
            <w:r w:rsidRPr="00BC4F7A">
              <w:rPr>
                <w:szCs w:val="24"/>
              </w:rPr>
              <w:t xml:space="preserve"># </w:t>
            </w:r>
            <w:r>
              <w:rPr>
                <w:szCs w:val="24"/>
              </w:rPr>
              <w:t>POC</w:t>
            </w:r>
          </w:p>
        </w:tc>
        <w:tc>
          <w:tcPr>
            <w:tcW w:w="664" w:type="pct"/>
            <w:tcBorders>
              <w:left w:val="single" w:sz="12" w:space="0" w:color="auto"/>
            </w:tcBorders>
            <w:shd w:val="clear" w:color="auto" w:fill="auto"/>
          </w:tcPr>
          <w:p w:rsidR="00F6663A" w:rsidRPr="001A1E9E" w:rsidRDefault="00F6663A" w:rsidP="00F6663A">
            <w:pPr>
              <w:jc w:val="center"/>
            </w:pPr>
            <w:r w:rsidRPr="001A1E9E">
              <w:t>808</w:t>
            </w:r>
          </w:p>
        </w:tc>
        <w:tc>
          <w:tcPr>
            <w:tcW w:w="664" w:type="pct"/>
            <w:tcBorders>
              <w:left w:val="single" w:sz="12" w:space="0" w:color="auto"/>
            </w:tcBorders>
            <w:shd w:val="clear" w:color="auto" w:fill="auto"/>
          </w:tcPr>
          <w:p w:rsidR="00F6663A" w:rsidRPr="001A1E9E" w:rsidRDefault="00F6663A" w:rsidP="00F6663A">
            <w:pPr>
              <w:jc w:val="center"/>
            </w:pPr>
            <w:r w:rsidRPr="009E7D1F">
              <w:t>844</w:t>
            </w:r>
          </w:p>
        </w:tc>
        <w:tc>
          <w:tcPr>
            <w:tcW w:w="664" w:type="pct"/>
            <w:tcBorders>
              <w:left w:val="single" w:sz="12" w:space="0" w:color="auto"/>
            </w:tcBorders>
            <w:shd w:val="clear" w:color="auto" w:fill="auto"/>
          </w:tcPr>
          <w:p w:rsidR="00F6663A" w:rsidRPr="009E7D1F" w:rsidRDefault="008F1C77" w:rsidP="00F6663A">
            <w:pPr>
              <w:jc w:val="center"/>
            </w:pPr>
            <w:r>
              <w:t>887</w:t>
            </w:r>
          </w:p>
        </w:tc>
        <w:tc>
          <w:tcPr>
            <w:tcW w:w="273" w:type="pct"/>
            <w:tcBorders>
              <w:left w:val="single" w:sz="12" w:space="0" w:color="auto"/>
            </w:tcBorders>
            <w:shd w:val="clear" w:color="auto" w:fill="auto"/>
          </w:tcPr>
          <w:p w:rsidR="00F6663A" w:rsidRPr="009E7D1F" w:rsidRDefault="00F6663A" w:rsidP="00F6663A">
            <w:pPr>
              <w:jc w:val="center"/>
            </w:pPr>
            <w:r w:rsidRPr="009E7D1F">
              <w:t>↑</w:t>
            </w:r>
          </w:p>
        </w:tc>
      </w:tr>
      <w:tr w:rsidR="00F6663A" w:rsidRPr="00BC4F7A" w:rsidTr="00F6663A">
        <w:tc>
          <w:tcPr>
            <w:tcW w:w="2735" w:type="pct"/>
            <w:shd w:val="clear" w:color="auto" w:fill="auto"/>
          </w:tcPr>
          <w:p w:rsidR="00F6663A" w:rsidRPr="00BC4F7A" w:rsidRDefault="00F6663A" w:rsidP="00F6663A">
            <w:pPr>
              <w:rPr>
                <w:szCs w:val="24"/>
              </w:rPr>
            </w:pPr>
            <w:r>
              <w:rPr>
                <w:szCs w:val="24"/>
              </w:rPr>
              <w:t># White</w:t>
            </w:r>
          </w:p>
        </w:tc>
        <w:tc>
          <w:tcPr>
            <w:tcW w:w="664" w:type="pct"/>
            <w:tcBorders>
              <w:left w:val="single" w:sz="12" w:space="0" w:color="auto"/>
            </w:tcBorders>
            <w:shd w:val="clear" w:color="auto" w:fill="auto"/>
          </w:tcPr>
          <w:p w:rsidR="00F6663A" w:rsidRPr="001A1E9E" w:rsidRDefault="00F6663A" w:rsidP="00F6663A">
            <w:pPr>
              <w:jc w:val="center"/>
            </w:pPr>
            <w:r w:rsidRPr="001A1E9E">
              <w:t>6144</w:t>
            </w:r>
          </w:p>
        </w:tc>
        <w:tc>
          <w:tcPr>
            <w:tcW w:w="664" w:type="pct"/>
            <w:tcBorders>
              <w:left w:val="single" w:sz="12" w:space="0" w:color="auto"/>
            </w:tcBorders>
            <w:shd w:val="clear" w:color="auto" w:fill="auto"/>
          </w:tcPr>
          <w:p w:rsidR="00F6663A" w:rsidRPr="001A1E9E" w:rsidRDefault="00F6663A" w:rsidP="00F6663A">
            <w:pPr>
              <w:jc w:val="center"/>
            </w:pPr>
            <w:r w:rsidRPr="009E7D1F">
              <w:t>5741</w:t>
            </w:r>
          </w:p>
        </w:tc>
        <w:tc>
          <w:tcPr>
            <w:tcW w:w="664" w:type="pct"/>
            <w:tcBorders>
              <w:left w:val="single" w:sz="12" w:space="0" w:color="auto"/>
            </w:tcBorders>
            <w:shd w:val="clear" w:color="auto" w:fill="auto"/>
          </w:tcPr>
          <w:p w:rsidR="00F6663A" w:rsidRPr="009E7D1F" w:rsidRDefault="008F1C77" w:rsidP="00F6663A">
            <w:pPr>
              <w:jc w:val="center"/>
            </w:pPr>
            <w:r>
              <w:t>5564</w:t>
            </w:r>
          </w:p>
        </w:tc>
        <w:tc>
          <w:tcPr>
            <w:tcW w:w="273" w:type="pct"/>
            <w:tcBorders>
              <w:left w:val="single" w:sz="12" w:space="0" w:color="auto"/>
            </w:tcBorders>
            <w:shd w:val="clear" w:color="auto" w:fill="auto"/>
          </w:tcPr>
          <w:p w:rsidR="00F6663A" w:rsidRPr="009E7D1F" w:rsidRDefault="00F6663A" w:rsidP="00F6663A">
            <w:pPr>
              <w:jc w:val="center"/>
            </w:pPr>
            <w:r w:rsidRPr="009E7D1F">
              <w:rPr>
                <w:rFonts w:cstheme="minorHAnsi"/>
              </w:rPr>
              <w:t>↓</w:t>
            </w:r>
          </w:p>
        </w:tc>
      </w:tr>
      <w:tr w:rsidR="00F6663A" w:rsidRPr="00BC4F7A" w:rsidTr="00F6663A">
        <w:tc>
          <w:tcPr>
            <w:tcW w:w="2735" w:type="pct"/>
            <w:shd w:val="clear" w:color="auto" w:fill="auto"/>
          </w:tcPr>
          <w:p w:rsidR="00F6663A" w:rsidRDefault="00F6663A" w:rsidP="00F6663A">
            <w:pPr>
              <w:rPr>
                <w:szCs w:val="24"/>
              </w:rPr>
            </w:pPr>
            <w:r>
              <w:rPr>
                <w:szCs w:val="24"/>
              </w:rPr>
              <w:t># Unknown</w:t>
            </w:r>
          </w:p>
        </w:tc>
        <w:tc>
          <w:tcPr>
            <w:tcW w:w="664" w:type="pct"/>
            <w:tcBorders>
              <w:left w:val="single" w:sz="12" w:space="0" w:color="auto"/>
            </w:tcBorders>
            <w:shd w:val="clear" w:color="auto" w:fill="auto"/>
          </w:tcPr>
          <w:p w:rsidR="00F6663A" w:rsidRPr="001A1E9E" w:rsidRDefault="00F6663A" w:rsidP="00F6663A">
            <w:pPr>
              <w:jc w:val="center"/>
            </w:pPr>
            <w:r w:rsidRPr="001A1E9E">
              <w:t>366</w:t>
            </w:r>
          </w:p>
        </w:tc>
        <w:tc>
          <w:tcPr>
            <w:tcW w:w="664" w:type="pct"/>
            <w:tcBorders>
              <w:left w:val="single" w:sz="12" w:space="0" w:color="auto"/>
            </w:tcBorders>
            <w:shd w:val="clear" w:color="auto" w:fill="auto"/>
          </w:tcPr>
          <w:p w:rsidR="00F6663A" w:rsidRPr="001A1E9E" w:rsidRDefault="00F6663A" w:rsidP="00F6663A">
            <w:pPr>
              <w:jc w:val="center"/>
            </w:pPr>
            <w:r w:rsidRPr="009E7D1F">
              <w:t>440</w:t>
            </w:r>
          </w:p>
        </w:tc>
        <w:tc>
          <w:tcPr>
            <w:tcW w:w="664" w:type="pct"/>
            <w:tcBorders>
              <w:left w:val="single" w:sz="12" w:space="0" w:color="auto"/>
            </w:tcBorders>
            <w:shd w:val="clear" w:color="auto" w:fill="auto"/>
          </w:tcPr>
          <w:p w:rsidR="00F6663A" w:rsidRPr="009E7D1F" w:rsidRDefault="008F1C77" w:rsidP="008F1C77">
            <w:pPr>
              <w:jc w:val="center"/>
            </w:pPr>
            <w:r>
              <w:t>521</w:t>
            </w:r>
          </w:p>
        </w:tc>
        <w:tc>
          <w:tcPr>
            <w:tcW w:w="273" w:type="pct"/>
            <w:tcBorders>
              <w:left w:val="single" w:sz="12" w:space="0" w:color="auto"/>
            </w:tcBorders>
            <w:shd w:val="clear" w:color="auto" w:fill="auto"/>
          </w:tcPr>
          <w:p w:rsidR="00F6663A" w:rsidRPr="009E7D1F" w:rsidRDefault="00F6663A" w:rsidP="00F6663A">
            <w:pPr>
              <w:jc w:val="center"/>
            </w:pPr>
            <w:r w:rsidRPr="009E7D1F">
              <w:rPr>
                <w:rFonts w:cstheme="minorHAnsi"/>
              </w:rPr>
              <w:t>↑</w:t>
            </w:r>
          </w:p>
        </w:tc>
      </w:tr>
      <w:tr w:rsidR="00F6663A" w:rsidRPr="00BC4F7A" w:rsidTr="00F6663A">
        <w:tc>
          <w:tcPr>
            <w:tcW w:w="2735" w:type="pct"/>
            <w:tcBorders>
              <w:bottom w:val="single" w:sz="4" w:space="0" w:color="auto"/>
            </w:tcBorders>
            <w:shd w:val="clear" w:color="auto" w:fill="auto"/>
          </w:tcPr>
          <w:p w:rsidR="00F6663A" w:rsidRDefault="00F6663A" w:rsidP="00F6663A">
            <w:pPr>
              <w:rPr>
                <w:szCs w:val="24"/>
              </w:rPr>
            </w:pPr>
            <w:r>
              <w:rPr>
                <w:szCs w:val="24"/>
              </w:rPr>
              <w:t>% POC</w:t>
            </w:r>
          </w:p>
        </w:tc>
        <w:tc>
          <w:tcPr>
            <w:tcW w:w="664" w:type="pct"/>
            <w:tcBorders>
              <w:left w:val="single" w:sz="12" w:space="0" w:color="auto"/>
              <w:bottom w:val="single" w:sz="4" w:space="0" w:color="auto"/>
            </w:tcBorders>
            <w:shd w:val="clear" w:color="auto" w:fill="auto"/>
          </w:tcPr>
          <w:p w:rsidR="00F6663A" w:rsidRPr="001A1E9E" w:rsidRDefault="00F6663A" w:rsidP="00F6663A">
            <w:pPr>
              <w:jc w:val="center"/>
            </w:pPr>
            <w:r w:rsidRPr="001A1E9E">
              <w:t>11.04</w:t>
            </w:r>
          </w:p>
        </w:tc>
        <w:tc>
          <w:tcPr>
            <w:tcW w:w="664" w:type="pct"/>
            <w:tcBorders>
              <w:left w:val="single" w:sz="12" w:space="0" w:color="auto"/>
              <w:bottom w:val="single" w:sz="4" w:space="0" w:color="auto"/>
            </w:tcBorders>
            <w:shd w:val="clear" w:color="auto" w:fill="auto"/>
          </w:tcPr>
          <w:p w:rsidR="00F6663A" w:rsidRPr="001A1E9E" w:rsidRDefault="00F6663A" w:rsidP="00F6663A">
            <w:pPr>
              <w:jc w:val="center"/>
            </w:pPr>
            <w:r w:rsidRPr="009E7D1F">
              <w:t>12.49</w:t>
            </w:r>
          </w:p>
        </w:tc>
        <w:tc>
          <w:tcPr>
            <w:tcW w:w="664" w:type="pct"/>
            <w:tcBorders>
              <w:left w:val="single" w:sz="12" w:space="0" w:color="auto"/>
              <w:bottom w:val="single" w:sz="4" w:space="0" w:color="auto"/>
            </w:tcBorders>
            <w:shd w:val="clear" w:color="auto" w:fill="auto"/>
          </w:tcPr>
          <w:p w:rsidR="00F6663A" w:rsidRPr="009E7D1F" w:rsidRDefault="008F1C77" w:rsidP="00F6663A">
            <w:pPr>
              <w:jc w:val="center"/>
            </w:pPr>
            <w:r>
              <w:t>12.72</w:t>
            </w:r>
          </w:p>
        </w:tc>
        <w:tc>
          <w:tcPr>
            <w:tcW w:w="273" w:type="pct"/>
            <w:tcBorders>
              <w:left w:val="single" w:sz="12" w:space="0" w:color="auto"/>
              <w:bottom w:val="single" w:sz="4" w:space="0" w:color="auto"/>
            </w:tcBorders>
            <w:shd w:val="clear" w:color="auto" w:fill="auto"/>
          </w:tcPr>
          <w:p w:rsidR="00F6663A" w:rsidRPr="009E7D1F" w:rsidRDefault="00F6663A" w:rsidP="00F6663A">
            <w:pPr>
              <w:jc w:val="center"/>
            </w:pPr>
            <w:r w:rsidRPr="009E7D1F">
              <w:t>↑</w:t>
            </w:r>
          </w:p>
        </w:tc>
      </w:tr>
      <w:tr w:rsidR="00F6663A" w:rsidRPr="00BC4F7A" w:rsidTr="00F6663A">
        <w:tc>
          <w:tcPr>
            <w:tcW w:w="2735" w:type="pct"/>
            <w:tcBorders>
              <w:bottom w:val="single" w:sz="4" w:space="0" w:color="auto"/>
            </w:tcBorders>
            <w:shd w:val="clear" w:color="auto" w:fill="auto"/>
          </w:tcPr>
          <w:p w:rsidR="00F6663A" w:rsidRPr="00BC4F7A" w:rsidRDefault="00F6663A" w:rsidP="00F6663A">
            <w:pPr>
              <w:rPr>
                <w:szCs w:val="24"/>
              </w:rPr>
            </w:pPr>
            <w:r w:rsidRPr="00BC4F7A">
              <w:rPr>
                <w:szCs w:val="24"/>
              </w:rPr>
              <w:t xml:space="preserve">% </w:t>
            </w:r>
            <w:r>
              <w:rPr>
                <w:szCs w:val="24"/>
              </w:rPr>
              <w:t>POC of Known</w:t>
            </w:r>
          </w:p>
        </w:tc>
        <w:tc>
          <w:tcPr>
            <w:tcW w:w="664" w:type="pct"/>
            <w:tcBorders>
              <w:left w:val="single" w:sz="12" w:space="0" w:color="auto"/>
              <w:bottom w:val="single" w:sz="4" w:space="0" w:color="auto"/>
            </w:tcBorders>
            <w:shd w:val="clear" w:color="auto" w:fill="auto"/>
          </w:tcPr>
          <w:p w:rsidR="00F6663A" w:rsidRPr="001A1E9E" w:rsidRDefault="00F6663A" w:rsidP="00F6663A">
            <w:pPr>
              <w:jc w:val="center"/>
            </w:pPr>
            <w:r w:rsidRPr="001A1E9E">
              <w:t>11.62</w:t>
            </w:r>
          </w:p>
        </w:tc>
        <w:tc>
          <w:tcPr>
            <w:tcW w:w="664" w:type="pct"/>
            <w:tcBorders>
              <w:left w:val="single" w:sz="12" w:space="0" w:color="auto"/>
              <w:bottom w:val="single" w:sz="4" w:space="0" w:color="auto"/>
            </w:tcBorders>
            <w:shd w:val="clear" w:color="auto" w:fill="auto"/>
          </w:tcPr>
          <w:p w:rsidR="00F6663A" w:rsidRPr="001A1E9E" w:rsidRDefault="00F6663A" w:rsidP="00F6663A">
            <w:pPr>
              <w:jc w:val="center"/>
            </w:pPr>
            <w:r w:rsidRPr="009E7D1F">
              <w:t>13.37</w:t>
            </w:r>
          </w:p>
        </w:tc>
        <w:tc>
          <w:tcPr>
            <w:tcW w:w="664" w:type="pct"/>
            <w:tcBorders>
              <w:left w:val="single" w:sz="12" w:space="0" w:color="auto"/>
              <w:bottom w:val="single" w:sz="4" w:space="0" w:color="auto"/>
            </w:tcBorders>
            <w:shd w:val="clear" w:color="auto" w:fill="auto"/>
          </w:tcPr>
          <w:p w:rsidR="00F6663A" w:rsidRPr="009E7D1F" w:rsidRDefault="008F1C77" w:rsidP="00F6663A">
            <w:pPr>
              <w:jc w:val="center"/>
            </w:pPr>
            <w:r>
              <w:t>13.75</w:t>
            </w:r>
          </w:p>
        </w:tc>
        <w:tc>
          <w:tcPr>
            <w:tcW w:w="273" w:type="pct"/>
            <w:tcBorders>
              <w:left w:val="single" w:sz="12" w:space="0" w:color="auto"/>
              <w:bottom w:val="single" w:sz="4" w:space="0" w:color="auto"/>
            </w:tcBorders>
            <w:shd w:val="clear" w:color="auto" w:fill="auto"/>
          </w:tcPr>
          <w:p w:rsidR="00F6663A" w:rsidRPr="009E7D1F" w:rsidRDefault="00F6663A" w:rsidP="00F6663A">
            <w:pPr>
              <w:jc w:val="center"/>
            </w:pPr>
            <w:r w:rsidRPr="009E7D1F">
              <w:t>↑</w:t>
            </w:r>
          </w:p>
        </w:tc>
      </w:tr>
      <w:tr w:rsidR="00F6663A" w:rsidRPr="00BC4F7A" w:rsidTr="00F6663A">
        <w:tc>
          <w:tcPr>
            <w:tcW w:w="2735" w:type="pct"/>
            <w:tcBorders>
              <w:top w:val="single" w:sz="4" w:space="0" w:color="auto"/>
              <w:bottom w:val="single" w:sz="12" w:space="0" w:color="auto"/>
            </w:tcBorders>
            <w:shd w:val="clear" w:color="auto" w:fill="auto"/>
          </w:tcPr>
          <w:p w:rsidR="00F6663A" w:rsidRPr="00DB049E" w:rsidRDefault="00F6663A" w:rsidP="00F6663A">
            <w:pPr>
              <w:rPr>
                <w:i/>
                <w:szCs w:val="24"/>
              </w:rPr>
            </w:pPr>
            <w:r w:rsidRPr="00DB049E">
              <w:rPr>
                <w:i/>
                <w:szCs w:val="24"/>
              </w:rPr>
              <w:t>% Unknown Ethnicity</w:t>
            </w:r>
          </w:p>
        </w:tc>
        <w:tc>
          <w:tcPr>
            <w:tcW w:w="664" w:type="pct"/>
            <w:tcBorders>
              <w:top w:val="single" w:sz="4" w:space="0" w:color="auto"/>
              <w:left w:val="single" w:sz="12" w:space="0" w:color="auto"/>
            </w:tcBorders>
            <w:shd w:val="clear" w:color="auto" w:fill="auto"/>
          </w:tcPr>
          <w:p w:rsidR="00F6663A" w:rsidRPr="00C52F18" w:rsidRDefault="00F6663A" w:rsidP="00F6663A">
            <w:pPr>
              <w:jc w:val="center"/>
              <w:rPr>
                <w:i/>
              </w:rPr>
            </w:pPr>
            <w:r>
              <w:rPr>
                <w:i/>
              </w:rPr>
              <w:t>5.00</w:t>
            </w:r>
          </w:p>
        </w:tc>
        <w:tc>
          <w:tcPr>
            <w:tcW w:w="664" w:type="pct"/>
            <w:tcBorders>
              <w:top w:val="single" w:sz="4" w:space="0" w:color="auto"/>
              <w:left w:val="single" w:sz="12" w:space="0" w:color="auto"/>
            </w:tcBorders>
            <w:shd w:val="clear" w:color="auto" w:fill="auto"/>
          </w:tcPr>
          <w:p w:rsidR="00F6663A" w:rsidRPr="00C52F18" w:rsidRDefault="00F6663A" w:rsidP="00F6663A">
            <w:pPr>
              <w:jc w:val="center"/>
              <w:rPr>
                <w:i/>
              </w:rPr>
            </w:pPr>
            <w:r>
              <w:rPr>
                <w:i/>
              </w:rPr>
              <w:t>6.26</w:t>
            </w:r>
          </w:p>
        </w:tc>
        <w:tc>
          <w:tcPr>
            <w:tcW w:w="664" w:type="pct"/>
            <w:tcBorders>
              <w:top w:val="single" w:sz="4" w:space="0" w:color="auto"/>
              <w:left w:val="single" w:sz="12" w:space="0" w:color="auto"/>
            </w:tcBorders>
            <w:shd w:val="clear" w:color="auto" w:fill="auto"/>
          </w:tcPr>
          <w:p w:rsidR="00F6663A" w:rsidRPr="009E7D1F" w:rsidRDefault="008F1C77" w:rsidP="00F6663A">
            <w:pPr>
              <w:jc w:val="center"/>
              <w:rPr>
                <w:i/>
              </w:rPr>
            </w:pPr>
            <w:r>
              <w:rPr>
                <w:i/>
              </w:rPr>
              <w:t>7.47</w:t>
            </w:r>
          </w:p>
        </w:tc>
        <w:tc>
          <w:tcPr>
            <w:tcW w:w="273" w:type="pct"/>
            <w:tcBorders>
              <w:top w:val="single" w:sz="4" w:space="0" w:color="auto"/>
              <w:left w:val="single" w:sz="12" w:space="0" w:color="auto"/>
            </w:tcBorders>
            <w:shd w:val="clear" w:color="auto" w:fill="auto"/>
          </w:tcPr>
          <w:p w:rsidR="00F6663A" w:rsidRPr="009E7D1F" w:rsidRDefault="00F6663A" w:rsidP="00F6663A">
            <w:pPr>
              <w:jc w:val="center"/>
              <w:rPr>
                <w:i/>
              </w:rPr>
            </w:pPr>
            <w:r w:rsidRPr="009E7D1F">
              <w:rPr>
                <w:rFonts w:cstheme="minorHAnsi"/>
                <w:i/>
              </w:rPr>
              <w:t>↑</w:t>
            </w:r>
          </w:p>
        </w:tc>
      </w:tr>
      <w:tr w:rsidR="00F6663A" w:rsidRPr="00BC4F7A" w:rsidTr="00F6663A">
        <w:tc>
          <w:tcPr>
            <w:tcW w:w="2735" w:type="pct"/>
            <w:tcBorders>
              <w:top w:val="single" w:sz="12" w:space="0" w:color="auto"/>
            </w:tcBorders>
          </w:tcPr>
          <w:p w:rsidR="00F6663A" w:rsidRPr="00BC4F7A" w:rsidRDefault="00F6663A" w:rsidP="00F6663A">
            <w:pPr>
              <w:pStyle w:val="ListParagraph"/>
              <w:numPr>
                <w:ilvl w:val="0"/>
                <w:numId w:val="9"/>
              </w:numPr>
              <w:ind w:hanging="189"/>
              <w:rPr>
                <w:szCs w:val="24"/>
              </w:rPr>
            </w:pPr>
            <w:r w:rsidRPr="00BC4F7A">
              <w:rPr>
                <w:szCs w:val="24"/>
              </w:rPr>
              <w:t>Mean</w:t>
            </w:r>
          </w:p>
        </w:tc>
        <w:tc>
          <w:tcPr>
            <w:tcW w:w="664" w:type="pct"/>
            <w:tcBorders>
              <w:top w:val="single" w:sz="12" w:space="0" w:color="auto"/>
              <w:left w:val="single" w:sz="12" w:space="0" w:color="auto"/>
            </w:tcBorders>
            <w:shd w:val="clear" w:color="auto" w:fill="auto"/>
          </w:tcPr>
          <w:p w:rsidR="00F6663A" w:rsidRDefault="00F6663A" w:rsidP="00F6663A">
            <w:pPr>
              <w:jc w:val="center"/>
            </w:pPr>
            <w:r w:rsidRPr="00996723">
              <w:t>1.26</w:t>
            </w:r>
          </w:p>
        </w:tc>
        <w:tc>
          <w:tcPr>
            <w:tcW w:w="664" w:type="pct"/>
            <w:tcBorders>
              <w:top w:val="single" w:sz="12" w:space="0" w:color="auto"/>
              <w:left w:val="single" w:sz="12" w:space="0" w:color="auto"/>
            </w:tcBorders>
            <w:shd w:val="clear" w:color="auto" w:fill="auto"/>
          </w:tcPr>
          <w:p w:rsidR="00F6663A" w:rsidRDefault="00F6663A" w:rsidP="00F6663A">
            <w:pPr>
              <w:jc w:val="center"/>
            </w:pPr>
            <w:r w:rsidRPr="009E7D1F">
              <w:t>2.21</w:t>
            </w:r>
          </w:p>
        </w:tc>
        <w:tc>
          <w:tcPr>
            <w:tcW w:w="664" w:type="pct"/>
            <w:tcBorders>
              <w:top w:val="single" w:sz="12" w:space="0" w:color="auto"/>
              <w:left w:val="single" w:sz="12" w:space="0" w:color="auto"/>
            </w:tcBorders>
            <w:shd w:val="clear" w:color="auto" w:fill="auto"/>
          </w:tcPr>
          <w:p w:rsidR="00F6663A" w:rsidRPr="009E7D1F" w:rsidRDefault="008F1C77" w:rsidP="00F6663A">
            <w:pPr>
              <w:jc w:val="center"/>
            </w:pPr>
            <w:r>
              <w:t>6.49</w:t>
            </w:r>
          </w:p>
        </w:tc>
        <w:tc>
          <w:tcPr>
            <w:tcW w:w="273" w:type="pct"/>
            <w:tcBorders>
              <w:top w:val="single" w:sz="12" w:space="0" w:color="auto"/>
              <w:left w:val="single" w:sz="12" w:space="0" w:color="auto"/>
            </w:tcBorders>
            <w:shd w:val="clear" w:color="auto" w:fill="auto"/>
          </w:tcPr>
          <w:p w:rsidR="00F6663A" w:rsidRPr="007F55B5" w:rsidRDefault="00F6663A" w:rsidP="00F6663A">
            <w:pPr>
              <w:jc w:val="center"/>
              <w:rPr>
                <w:color w:val="FF0000"/>
              </w:rPr>
            </w:pPr>
            <w:r w:rsidRPr="007F55B5">
              <w:rPr>
                <w:rFonts w:cstheme="minorHAnsi"/>
                <w:i/>
                <w:color w:val="FF0000"/>
              </w:rPr>
              <w:t>↑</w:t>
            </w:r>
          </w:p>
        </w:tc>
      </w:tr>
      <w:tr w:rsidR="00F6663A" w:rsidRPr="00BC4F7A" w:rsidTr="00F6663A">
        <w:tc>
          <w:tcPr>
            <w:tcW w:w="2735" w:type="pct"/>
            <w:tcBorders>
              <w:bottom w:val="single" w:sz="12" w:space="0" w:color="auto"/>
            </w:tcBorders>
          </w:tcPr>
          <w:p w:rsidR="00F6663A" w:rsidRPr="00BC4F7A" w:rsidRDefault="00F6663A" w:rsidP="00F6663A">
            <w:pPr>
              <w:pStyle w:val="ListParagraph"/>
              <w:numPr>
                <w:ilvl w:val="0"/>
                <w:numId w:val="9"/>
              </w:numPr>
              <w:ind w:hanging="189"/>
              <w:rPr>
                <w:szCs w:val="24"/>
              </w:rPr>
            </w:pPr>
            <w:r w:rsidRPr="00BC4F7A">
              <w:rPr>
                <w:szCs w:val="24"/>
              </w:rPr>
              <w:t>Median</w:t>
            </w:r>
          </w:p>
        </w:tc>
        <w:tc>
          <w:tcPr>
            <w:tcW w:w="664" w:type="pct"/>
            <w:tcBorders>
              <w:left w:val="single" w:sz="12" w:space="0" w:color="auto"/>
              <w:bottom w:val="single" w:sz="12" w:space="0" w:color="auto"/>
            </w:tcBorders>
            <w:shd w:val="clear" w:color="auto" w:fill="auto"/>
          </w:tcPr>
          <w:p w:rsidR="00F6663A" w:rsidRPr="00334F26" w:rsidRDefault="00F6663A" w:rsidP="00F6663A">
            <w:pPr>
              <w:jc w:val="center"/>
              <w:rPr>
                <w:color w:val="FF0000"/>
              </w:rPr>
            </w:pPr>
            <w:r>
              <w:rPr>
                <w:color w:val="FF0000"/>
              </w:rPr>
              <w:t>-0.83</w:t>
            </w:r>
          </w:p>
        </w:tc>
        <w:tc>
          <w:tcPr>
            <w:tcW w:w="664" w:type="pct"/>
            <w:tcBorders>
              <w:left w:val="single" w:sz="12" w:space="0" w:color="auto"/>
              <w:bottom w:val="single" w:sz="12" w:space="0" w:color="auto"/>
            </w:tcBorders>
            <w:shd w:val="clear" w:color="auto" w:fill="auto"/>
          </w:tcPr>
          <w:p w:rsidR="00F6663A" w:rsidRPr="00334F26" w:rsidRDefault="00F6663A" w:rsidP="00F6663A">
            <w:pPr>
              <w:jc w:val="center"/>
              <w:rPr>
                <w:color w:val="FF0000"/>
              </w:rPr>
            </w:pPr>
            <w:r w:rsidRPr="00BB1B1D">
              <w:rPr>
                <w:color w:val="FF0000"/>
              </w:rPr>
              <w:t>-1.12</w:t>
            </w:r>
          </w:p>
        </w:tc>
        <w:tc>
          <w:tcPr>
            <w:tcW w:w="664" w:type="pct"/>
            <w:tcBorders>
              <w:left w:val="single" w:sz="12" w:space="0" w:color="auto"/>
              <w:bottom w:val="single" w:sz="12" w:space="0" w:color="auto"/>
            </w:tcBorders>
            <w:shd w:val="clear" w:color="auto" w:fill="auto"/>
          </w:tcPr>
          <w:p w:rsidR="00F6663A" w:rsidRPr="009E7D1F" w:rsidRDefault="008F1C77" w:rsidP="00F6663A">
            <w:pPr>
              <w:jc w:val="center"/>
            </w:pPr>
            <w:r w:rsidRPr="008F1C77">
              <w:rPr>
                <w:color w:val="FF0000"/>
              </w:rPr>
              <w:t>-0.09</w:t>
            </w:r>
          </w:p>
        </w:tc>
        <w:tc>
          <w:tcPr>
            <w:tcW w:w="273" w:type="pct"/>
            <w:tcBorders>
              <w:left w:val="single" w:sz="12" w:space="0" w:color="auto"/>
              <w:bottom w:val="single" w:sz="12" w:space="0" w:color="auto"/>
            </w:tcBorders>
            <w:shd w:val="clear" w:color="auto" w:fill="auto"/>
          </w:tcPr>
          <w:p w:rsidR="00F6663A" w:rsidRPr="007F55B5" w:rsidRDefault="008F1C77" w:rsidP="00F6663A">
            <w:pPr>
              <w:jc w:val="center"/>
              <w:rPr>
                <w:color w:val="FF0000"/>
              </w:rPr>
            </w:pPr>
            <w:r w:rsidRPr="007F55B5">
              <w:rPr>
                <w:rFonts w:cstheme="minorHAnsi"/>
                <w:color w:val="00B050"/>
              </w:rPr>
              <w:t>↓</w:t>
            </w:r>
          </w:p>
        </w:tc>
      </w:tr>
      <w:tr w:rsidR="00531C08" w:rsidRPr="00BC4F7A" w:rsidTr="00F6663A">
        <w:tc>
          <w:tcPr>
            <w:tcW w:w="2735" w:type="pct"/>
            <w:tcBorders>
              <w:top w:val="single" w:sz="12" w:space="0" w:color="auto"/>
            </w:tcBorders>
          </w:tcPr>
          <w:p w:rsidR="00531C08" w:rsidRPr="00BC4F7A" w:rsidRDefault="00531C08" w:rsidP="00531C08">
            <w:pPr>
              <w:pStyle w:val="ListParagraph"/>
              <w:numPr>
                <w:ilvl w:val="0"/>
                <w:numId w:val="9"/>
              </w:numPr>
              <w:ind w:hanging="189"/>
              <w:rPr>
                <w:szCs w:val="24"/>
              </w:rPr>
            </w:pPr>
            <w:r w:rsidRPr="00BC4F7A">
              <w:rPr>
                <w:szCs w:val="24"/>
              </w:rPr>
              <w:t>Mean Bonus</w:t>
            </w:r>
          </w:p>
        </w:tc>
        <w:tc>
          <w:tcPr>
            <w:tcW w:w="664" w:type="pct"/>
            <w:tcBorders>
              <w:top w:val="single" w:sz="12" w:space="0" w:color="auto"/>
              <w:left w:val="single" w:sz="12" w:space="0" w:color="auto"/>
            </w:tcBorders>
            <w:shd w:val="clear" w:color="auto" w:fill="auto"/>
          </w:tcPr>
          <w:p w:rsidR="00531C08" w:rsidRPr="00334F26" w:rsidRDefault="00531C08" w:rsidP="00531C08">
            <w:pPr>
              <w:jc w:val="center"/>
              <w:rPr>
                <w:color w:val="FF0000"/>
              </w:rPr>
            </w:pPr>
            <w:r>
              <w:rPr>
                <w:color w:val="FF0000"/>
              </w:rPr>
              <w:t>-84.40</w:t>
            </w:r>
          </w:p>
        </w:tc>
        <w:tc>
          <w:tcPr>
            <w:tcW w:w="664" w:type="pct"/>
            <w:tcBorders>
              <w:top w:val="single" w:sz="12" w:space="0" w:color="auto"/>
              <w:left w:val="single" w:sz="12" w:space="0" w:color="auto"/>
            </w:tcBorders>
            <w:shd w:val="clear" w:color="auto" w:fill="auto"/>
          </w:tcPr>
          <w:p w:rsidR="00531C08" w:rsidRPr="00334F26" w:rsidRDefault="00531C08" w:rsidP="00531C08">
            <w:pPr>
              <w:jc w:val="center"/>
              <w:rPr>
                <w:color w:val="FF0000"/>
              </w:rPr>
            </w:pPr>
            <w:r>
              <w:rPr>
                <w:color w:val="FF0000"/>
              </w:rPr>
              <w:t>-11.38</w:t>
            </w:r>
          </w:p>
        </w:tc>
        <w:tc>
          <w:tcPr>
            <w:tcW w:w="664" w:type="pct"/>
            <w:tcBorders>
              <w:top w:val="single" w:sz="12" w:space="0" w:color="auto"/>
              <w:left w:val="single" w:sz="12" w:space="0" w:color="auto"/>
            </w:tcBorders>
            <w:shd w:val="clear" w:color="auto" w:fill="auto"/>
          </w:tcPr>
          <w:p w:rsidR="00531C08" w:rsidRPr="008F1C77" w:rsidRDefault="00531C08" w:rsidP="00531C08">
            <w:pPr>
              <w:jc w:val="center"/>
            </w:pPr>
            <w:r w:rsidRPr="008F1C77">
              <w:t>19.14</w:t>
            </w:r>
          </w:p>
        </w:tc>
        <w:tc>
          <w:tcPr>
            <w:tcW w:w="273" w:type="pct"/>
            <w:tcBorders>
              <w:top w:val="single" w:sz="12" w:space="0" w:color="auto"/>
              <w:left w:val="single" w:sz="12" w:space="0" w:color="auto"/>
            </w:tcBorders>
            <w:shd w:val="clear" w:color="auto" w:fill="auto"/>
          </w:tcPr>
          <w:p w:rsidR="00531C08" w:rsidRPr="007F55B5" w:rsidRDefault="00531C08" w:rsidP="00531C08">
            <w:pPr>
              <w:jc w:val="center"/>
              <w:rPr>
                <w:color w:val="FF0000"/>
              </w:rPr>
            </w:pPr>
            <w:r w:rsidRPr="007F55B5">
              <w:rPr>
                <w:color w:val="FF0000"/>
              </w:rPr>
              <w:t>↑</w:t>
            </w:r>
          </w:p>
        </w:tc>
      </w:tr>
      <w:tr w:rsidR="00531C08" w:rsidRPr="00BC4F7A" w:rsidTr="00F6663A">
        <w:tc>
          <w:tcPr>
            <w:tcW w:w="2735" w:type="pct"/>
            <w:tcBorders>
              <w:bottom w:val="single" w:sz="12" w:space="0" w:color="auto"/>
            </w:tcBorders>
          </w:tcPr>
          <w:p w:rsidR="00531C08" w:rsidRPr="00BC4F7A" w:rsidRDefault="00531C08" w:rsidP="00531C08">
            <w:pPr>
              <w:pStyle w:val="ListParagraph"/>
              <w:numPr>
                <w:ilvl w:val="0"/>
                <w:numId w:val="9"/>
              </w:numPr>
              <w:ind w:hanging="189"/>
              <w:rPr>
                <w:szCs w:val="24"/>
              </w:rPr>
            </w:pPr>
            <w:r w:rsidRPr="00BC4F7A">
              <w:rPr>
                <w:szCs w:val="24"/>
              </w:rPr>
              <w:t>Median Bonus</w:t>
            </w:r>
          </w:p>
        </w:tc>
        <w:tc>
          <w:tcPr>
            <w:tcW w:w="664" w:type="pct"/>
            <w:tcBorders>
              <w:left w:val="single" w:sz="12" w:space="0" w:color="auto"/>
              <w:bottom w:val="single" w:sz="12" w:space="0" w:color="auto"/>
            </w:tcBorders>
            <w:shd w:val="clear" w:color="auto" w:fill="auto"/>
          </w:tcPr>
          <w:p w:rsidR="00531C08" w:rsidRPr="00334F26" w:rsidRDefault="00531C08" w:rsidP="00531C08">
            <w:pPr>
              <w:jc w:val="center"/>
              <w:rPr>
                <w:color w:val="FF0000"/>
              </w:rPr>
            </w:pPr>
            <w:r>
              <w:rPr>
                <w:color w:val="FF0000"/>
              </w:rPr>
              <w:t>-503.21</w:t>
            </w:r>
          </w:p>
        </w:tc>
        <w:tc>
          <w:tcPr>
            <w:tcW w:w="664" w:type="pct"/>
            <w:tcBorders>
              <w:left w:val="single" w:sz="12" w:space="0" w:color="auto"/>
              <w:bottom w:val="single" w:sz="12" w:space="0" w:color="auto"/>
            </w:tcBorders>
            <w:shd w:val="clear" w:color="auto" w:fill="auto"/>
          </w:tcPr>
          <w:p w:rsidR="00531C08" w:rsidRPr="00334F26" w:rsidRDefault="00531C08" w:rsidP="00531C08">
            <w:pPr>
              <w:jc w:val="center"/>
              <w:rPr>
                <w:color w:val="FF0000"/>
              </w:rPr>
            </w:pPr>
            <w:r w:rsidRPr="00094963">
              <w:t>58.33</w:t>
            </w:r>
          </w:p>
        </w:tc>
        <w:tc>
          <w:tcPr>
            <w:tcW w:w="664" w:type="pct"/>
            <w:tcBorders>
              <w:left w:val="single" w:sz="12" w:space="0" w:color="auto"/>
              <w:bottom w:val="single" w:sz="12" w:space="0" w:color="auto"/>
            </w:tcBorders>
            <w:shd w:val="clear" w:color="auto" w:fill="auto"/>
          </w:tcPr>
          <w:p w:rsidR="00531C08" w:rsidRPr="008F1C77" w:rsidRDefault="00531C08" w:rsidP="00531C08">
            <w:pPr>
              <w:jc w:val="center"/>
            </w:pPr>
            <w:r w:rsidRPr="008F1C77">
              <w:t>75.00</w:t>
            </w:r>
          </w:p>
        </w:tc>
        <w:tc>
          <w:tcPr>
            <w:tcW w:w="273" w:type="pct"/>
            <w:tcBorders>
              <w:left w:val="single" w:sz="12" w:space="0" w:color="auto"/>
              <w:bottom w:val="single" w:sz="12" w:space="0" w:color="auto"/>
            </w:tcBorders>
            <w:shd w:val="clear" w:color="auto" w:fill="auto"/>
          </w:tcPr>
          <w:p w:rsidR="00531C08" w:rsidRPr="007F55B5" w:rsidRDefault="00531C08" w:rsidP="00531C08">
            <w:pPr>
              <w:jc w:val="center"/>
              <w:rPr>
                <w:color w:val="FF0000"/>
              </w:rPr>
            </w:pPr>
            <w:r w:rsidRPr="007F55B5">
              <w:rPr>
                <w:rFonts w:cstheme="minorHAnsi"/>
                <w:i/>
                <w:color w:val="FF0000"/>
              </w:rPr>
              <w:t>↑</w:t>
            </w:r>
          </w:p>
        </w:tc>
      </w:tr>
      <w:tr w:rsidR="00F6663A" w:rsidRPr="00BC4F7A" w:rsidTr="00F6663A">
        <w:tc>
          <w:tcPr>
            <w:tcW w:w="2735" w:type="pct"/>
            <w:tcBorders>
              <w:top w:val="single" w:sz="12" w:space="0" w:color="auto"/>
            </w:tcBorders>
          </w:tcPr>
          <w:p w:rsidR="00F6663A" w:rsidRPr="00BC4F7A" w:rsidRDefault="00F6663A" w:rsidP="00F6663A">
            <w:pPr>
              <w:rPr>
                <w:szCs w:val="24"/>
              </w:rPr>
            </w:pPr>
            <w:r>
              <w:rPr>
                <w:szCs w:val="24"/>
              </w:rPr>
              <w:t>% POC</w:t>
            </w:r>
            <w:r w:rsidRPr="00BC4F7A">
              <w:rPr>
                <w:szCs w:val="24"/>
              </w:rPr>
              <w:t xml:space="preserve"> </w:t>
            </w:r>
            <w:r w:rsidR="0049360E">
              <w:rPr>
                <w:szCs w:val="24"/>
              </w:rPr>
              <w:t>S</w:t>
            </w:r>
            <w:r w:rsidRPr="00BC4F7A">
              <w:rPr>
                <w:szCs w:val="24"/>
              </w:rPr>
              <w:t xml:space="preserve">taff in </w:t>
            </w:r>
            <w:r w:rsidR="0049360E">
              <w:rPr>
                <w:szCs w:val="24"/>
              </w:rPr>
              <w:t>R</w:t>
            </w:r>
            <w:r w:rsidRPr="00BC4F7A">
              <w:rPr>
                <w:szCs w:val="24"/>
              </w:rPr>
              <w:t xml:space="preserve">eceipt of </w:t>
            </w:r>
            <w:r w:rsidR="0049360E">
              <w:rPr>
                <w:szCs w:val="24"/>
              </w:rPr>
              <w:t>B</w:t>
            </w:r>
            <w:r w:rsidRPr="00BC4F7A">
              <w:rPr>
                <w:szCs w:val="24"/>
              </w:rPr>
              <w:t xml:space="preserve">onus </w:t>
            </w:r>
            <w:r w:rsidR="0049360E">
              <w:rPr>
                <w:szCs w:val="24"/>
              </w:rPr>
              <w:t>P</w:t>
            </w:r>
            <w:r w:rsidRPr="00BC4F7A">
              <w:rPr>
                <w:szCs w:val="24"/>
              </w:rPr>
              <w:t>ay</w:t>
            </w:r>
          </w:p>
        </w:tc>
        <w:tc>
          <w:tcPr>
            <w:tcW w:w="664" w:type="pct"/>
            <w:tcBorders>
              <w:top w:val="single" w:sz="12" w:space="0" w:color="auto"/>
              <w:left w:val="single" w:sz="12" w:space="0" w:color="auto"/>
              <w:right w:val="single" w:sz="12" w:space="0" w:color="auto"/>
            </w:tcBorders>
            <w:shd w:val="clear" w:color="auto" w:fill="auto"/>
          </w:tcPr>
          <w:p w:rsidR="00F6663A" w:rsidRDefault="00F6663A" w:rsidP="00F6663A">
            <w:pPr>
              <w:jc w:val="center"/>
            </w:pPr>
            <w:r>
              <w:t>1.25</w:t>
            </w:r>
          </w:p>
        </w:tc>
        <w:tc>
          <w:tcPr>
            <w:tcW w:w="664" w:type="pct"/>
            <w:tcBorders>
              <w:top w:val="single" w:sz="12" w:space="0" w:color="auto"/>
              <w:left w:val="single" w:sz="12" w:space="0" w:color="auto"/>
              <w:bottom w:val="single" w:sz="4" w:space="0" w:color="auto"/>
              <w:right w:val="single" w:sz="4" w:space="0" w:color="auto"/>
            </w:tcBorders>
            <w:shd w:val="clear" w:color="auto" w:fill="auto"/>
            <w:vAlign w:val="bottom"/>
          </w:tcPr>
          <w:p w:rsidR="00F6663A" w:rsidRDefault="00F6663A" w:rsidP="00F6663A">
            <w:pPr>
              <w:jc w:val="center"/>
            </w:pPr>
            <w:r w:rsidRPr="00094963">
              <w:rPr>
                <w:rFonts w:ascii="Calibri" w:hAnsi="Calibri" w:cs="Calibri"/>
                <w:color w:val="000000"/>
              </w:rPr>
              <w:t>0.99</w:t>
            </w:r>
          </w:p>
        </w:tc>
        <w:tc>
          <w:tcPr>
            <w:tcW w:w="664" w:type="pct"/>
            <w:tcBorders>
              <w:top w:val="single" w:sz="12" w:space="0" w:color="auto"/>
              <w:left w:val="single" w:sz="12" w:space="0" w:color="auto"/>
              <w:bottom w:val="single" w:sz="4" w:space="0" w:color="auto"/>
              <w:right w:val="single" w:sz="4" w:space="0" w:color="auto"/>
            </w:tcBorders>
            <w:shd w:val="clear" w:color="auto" w:fill="auto"/>
            <w:vAlign w:val="bottom"/>
          </w:tcPr>
          <w:p w:rsidR="00F6663A" w:rsidRPr="00094963" w:rsidRDefault="008F1C77" w:rsidP="00F6663A">
            <w:pPr>
              <w:jc w:val="center"/>
            </w:pPr>
            <w:r>
              <w:t>0.86</w:t>
            </w:r>
          </w:p>
        </w:tc>
        <w:tc>
          <w:tcPr>
            <w:tcW w:w="273" w:type="pct"/>
            <w:tcBorders>
              <w:top w:val="single" w:sz="12" w:space="0" w:color="auto"/>
              <w:left w:val="single" w:sz="12" w:space="0" w:color="auto"/>
            </w:tcBorders>
            <w:shd w:val="clear" w:color="auto" w:fill="auto"/>
          </w:tcPr>
          <w:p w:rsidR="00F6663A" w:rsidRPr="00DB049E" w:rsidRDefault="00F6663A" w:rsidP="00F6663A">
            <w:pPr>
              <w:jc w:val="center"/>
              <w:rPr>
                <w:color w:val="000000" w:themeColor="text1"/>
              </w:rPr>
            </w:pPr>
            <w:r w:rsidRPr="00DB049E">
              <w:rPr>
                <w:rFonts w:cstheme="minorHAnsi"/>
                <w:color w:val="000000" w:themeColor="text1"/>
              </w:rPr>
              <w:t>↓</w:t>
            </w:r>
          </w:p>
        </w:tc>
      </w:tr>
      <w:tr w:rsidR="00F6663A" w:rsidRPr="00BC4F7A" w:rsidTr="00F6663A">
        <w:tc>
          <w:tcPr>
            <w:tcW w:w="2735" w:type="pct"/>
          </w:tcPr>
          <w:p w:rsidR="00F6663A" w:rsidRPr="00BC4F7A" w:rsidRDefault="00F6663A" w:rsidP="00F6663A">
            <w:pPr>
              <w:rPr>
                <w:szCs w:val="24"/>
              </w:rPr>
            </w:pPr>
            <w:r>
              <w:rPr>
                <w:szCs w:val="24"/>
              </w:rPr>
              <w:t>% of White</w:t>
            </w:r>
            <w:r w:rsidRPr="00BC4F7A">
              <w:rPr>
                <w:szCs w:val="24"/>
              </w:rPr>
              <w:t xml:space="preserve"> </w:t>
            </w:r>
            <w:r w:rsidR="0049360E">
              <w:rPr>
                <w:szCs w:val="24"/>
              </w:rPr>
              <w:t>S</w:t>
            </w:r>
            <w:r w:rsidRPr="00BC4F7A">
              <w:rPr>
                <w:szCs w:val="24"/>
              </w:rPr>
              <w:t xml:space="preserve">taff in </w:t>
            </w:r>
            <w:r w:rsidR="0049360E">
              <w:rPr>
                <w:szCs w:val="24"/>
              </w:rPr>
              <w:t>R</w:t>
            </w:r>
            <w:r w:rsidRPr="00BC4F7A">
              <w:rPr>
                <w:szCs w:val="24"/>
              </w:rPr>
              <w:t xml:space="preserve">eceipt of </w:t>
            </w:r>
            <w:r w:rsidR="0049360E">
              <w:rPr>
                <w:szCs w:val="24"/>
              </w:rPr>
              <w:t>B</w:t>
            </w:r>
            <w:r w:rsidRPr="00BC4F7A">
              <w:rPr>
                <w:szCs w:val="24"/>
              </w:rPr>
              <w:t xml:space="preserve">onus </w:t>
            </w:r>
            <w:r w:rsidR="0049360E">
              <w:rPr>
                <w:szCs w:val="24"/>
              </w:rPr>
              <w:t>P</w:t>
            </w:r>
            <w:r w:rsidRPr="00BC4F7A">
              <w:rPr>
                <w:szCs w:val="24"/>
              </w:rPr>
              <w:t>ay</w:t>
            </w:r>
          </w:p>
        </w:tc>
        <w:tc>
          <w:tcPr>
            <w:tcW w:w="664" w:type="pct"/>
            <w:tcBorders>
              <w:left w:val="single" w:sz="12" w:space="0" w:color="auto"/>
              <w:right w:val="single" w:sz="12" w:space="0" w:color="auto"/>
            </w:tcBorders>
            <w:shd w:val="clear" w:color="auto" w:fill="auto"/>
          </w:tcPr>
          <w:p w:rsidR="00F6663A" w:rsidRDefault="00F6663A" w:rsidP="00F6663A">
            <w:pPr>
              <w:jc w:val="center"/>
            </w:pPr>
            <w:r>
              <w:t>1.81</w:t>
            </w:r>
          </w:p>
        </w:tc>
        <w:tc>
          <w:tcPr>
            <w:tcW w:w="664" w:type="pct"/>
            <w:tcBorders>
              <w:top w:val="single" w:sz="4" w:space="0" w:color="auto"/>
              <w:left w:val="single" w:sz="12" w:space="0" w:color="auto"/>
              <w:bottom w:val="single" w:sz="4" w:space="0" w:color="auto"/>
              <w:right w:val="single" w:sz="4" w:space="0" w:color="auto"/>
            </w:tcBorders>
            <w:shd w:val="clear" w:color="auto" w:fill="auto"/>
            <w:vAlign w:val="bottom"/>
          </w:tcPr>
          <w:p w:rsidR="00F6663A" w:rsidRDefault="00F6663A" w:rsidP="00F6663A">
            <w:pPr>
              <w:jc w:val="center"/>
            </w:pPr>
            <w:r w:rsidRPr="00094963">
              <w:rPr>
                <w:rFonts w:ascii="Calibri" w:hAnsi="Calibri" w:cs="Calibri"/>
                <w:color w:val="000000"/>
              </w:rPr>
              <w:t>0.72</w:t>
            </w:r>
          </w:p>
        </w:tc>
        <w:tc>
          <w:tcPr>
            <w:tcW w:w="664" w:type="pct"/>
            <w:tcBorders>
              <w:top w:val="single" w:sz="4" w:space="0" w:color="auto"/>
              <w:left w:val="single" w:sz="12" w:space="0" w:color="auto"/>
              <w:bottom w:val="single" w:sz="4" w:space="0" w:color="auto"/>
              <w:right w:val="single" w:sz="4" w:space="0" w:color="auto"/>
            </w:tcBorders>
            <w:shd w:val="clear" w:color="auto" w:fill="auto"/>
            <w:vAlign w:val="bottom"/>
          </w:tcPr>
          <w:p w:rsidR="00F6663A" w:rsidRPr="00094963" w:rsidRDefault="008F1C77" w:rsidP="00F6663A">
            <w:pPr>
              <w:jc w:val="center"/>
            </w:pPr>
            <w:r>
              <w:t>0.62</w:t>
            </w:r>
          </w:p>
        </w:tc>
        <w:tc>
          <w:tcPr>
            <w:tcW w:w="273" w:type="pct"/>
            <w:tcBorders>
              <w:left w:val="single" w:sz="12" w:space="0" w:color="auto"/>
            </w:tcBorders>
            <w:shd w:val="clear" w:color="auto" w:fill="auto"/>
          </w:tcPr>
          <w:p w:rsidR="00F6663A" w:rsidRPr="00DB049E" w:rsidRDefault="00F6663A" w:rsidP="00F6663A">
            <w:pPr>
              <w:jc w:val="center"/>
              <w:rPr>
                <w:color w:val="000000" w:themeColor="text1"/>
              </w:rPr>
            </w:pPr>
            <w:r w:rsidRPr="00DB049E">
              <w:rPr>
                <w:rFonts w:cstheme="minorHAnsi"/>
                <w:color w:val="000000" w:themeColor="text1"/>
              </w:rPr>
              <w:t>↓</w:t>
            </w:r>
          </w:p>
        </w:tc>
      </w:tr>
      <w:tr w:rsidR="00F6663A" w:rsidRPr="00BC4F7A" w:rsidTr="00F6663A">
        <w:tc>
          <w:tcPr>
            <w:tcW w:w="2735" w:type="pct"/>
          </w:tcPr>
          <w:p w:rsidR="00F6663A" w:rsidRPr="00BC4F7A" w:rsidRDefault="00F6663A" w:rsidP="00F6663A">
            <w:pPr>
              <w:rPr>
                <w:szCs w:val="24"/>
              </w:rPr>
            </w:pPr>
            <w:r w:rsidRPr="00BC4F7A">
              <w:rPr>
                <w:szCs w:val="24"/>
              </w:rPr>
              <w:t xml:space="preserve">% </w:t>
            </w:r>
            <w:r w:rsidR="0049360E">
              <w:rPr>
                <w:szCs w:val="24"/>
              </w:rPr>
              <w:t>B</w:t>
            </w:r>
            <w:r w:rsidRPr="00BC4F7A">
              <w:rPr>
                <w:szCs w:val="24"/>
              </w:rPr>
              <w:t>on</w:t>
            </w:r>
            <w:r>
              <w:rPr>
                <w:szCs w:val="24"/>
              </w:rPr>
              <w:t xml:space="preserve">us </w:t>
            </w:r>
            <w:r w:rsidR="0049360E">
              <w:rPr>
                <w:szCs w:val="24"/>
              </w:rPr>
              <w:t>P</w:t>
            </w:r>
            <w:r>
              <w:rPr>
                <w:szCs w:val="24"/>
              </w:rPr>
              <w:t xml:space="preserve">ay </w:t>
            </w:r>
            <w:r w:rsidR="0049360E">
              <w:rPr>
                <w:szCs w:val="24"/>
              </w:rPr>
              <w:t>R</w:t>
            </w:r>
            <w:r>
              <w:rPr>
                <w:szCs w:val="24"/>
              </w:rPr>
              <w:t xml:space="preserve">ecipients </w:t>
            </w:r>
            <w:r w:rsidR="0049360E">
              <w:rPr>
                <w:szCs w:val="24"/>
              </w:rPr>
              <w:t>W</w:t>
            </w:r>
            <w:r>
              <w:rPr>
                <w:szCs w:val="24"/>
              </w:rPr>
              <w:t xml:space="preserve">ho </w:t>
            </w:r>
            <w:r w:rsidR="0049360E">
              <w:rPr>
                <w:szCs w:val="24"/>
              </w:rPr>
              <w:t>A</w:t>
            </w:r>
            <w:r>
              <w:rPr>
                <w:szCs w:val="24"/>
              </w:rPr>
              <w:t>re POC</w:t>
            </w:r>
          </w:p>
        </w:tc>
        <w:tc>
          <w:tcPr>
            <w:tcW w:w="664" w:type="pct"/>
            <w:tcBorders>
              <w:left w:val="single" w:sz="12" w:space="0" w:color="auto"/>
              <w:right w:val="single" w:sz="12" w:space="0" w:color="auto"/>
            </w:tcBorders>
            <w:shd w:val="clear" w:color="auto" w:fill="auto"/>
          </w:tcPr>
          <w:p w:rsidR="00F6663A" w:rsidRDefault="00F6663A" w:rsidP="00F6663A">
            <w:pPr>
              <w:jc w:val="center"/>
            </w:pPr>
            <w:r>
              <w:t>8.53</w:t>
            </w:r>
          </w:p>
        </w:tc>
        <w:tc>
          <w:tcPr>
            <w:tcW w:w="664" w:type="pct"/>
            <w:tcBorders>
              <w:top w:val="single" w:sz="4" w:space="0" w:color="auto"/>
              <w:left w:val="single" w:sz="12" w:space="0" w:color="auto"/>
              <w:bottom w:val="single" w:sz="4" w:space="0" w:color="auto"/>
              <w:right w:val="single" w:sz="4" w:space="0" w:color="auto"/>
            </w:tcBorders>
            <w:shd w:val="clear" w:color="auto" w:fill="auto"/>
            <w:vAlign w:val="bottom"/>
          </w:tcPr>
          <w:p w:rsidR="00F6663A" w:rsidRDefault="00F6663A" w:rsidP="00F6663A">
            <w:pPr>
              <w:jc w:val="center"/>
            </w:pPr>
            <w:r w:rsidRPr="00094963">
              <w:rPr>
                <w:rFonts w:ascii="Calibri" w:hAnsi="Calibri" w:cs="Calibri"/>
                <w:color w:val="000000"/>
              </w:rPr>
              <w:t>16.98</w:t>
            </w:r>
          </w:p>
        </w:tc>
        <w:tc>
          <w:tcPr>
            <w:tcW w:w="664" w:type="pct"/>
            <w:tcBorders>
              <w:top w:val="single" w:sz="4" w:space="0" w:color="auto"/>
              <w:left w:val="single" w:sz="12" w:space="0" w:color="auto"/>
              <w:bottom w:val="single" w:sz="4" w:space="0" w:color="auto"/>
              <w:right w:val="single" w:sz="4" w:space="0" w:color="auto"/>
            </w:tcBorders>
            <w:shd w:val="clear" w:color="auto" w:fill="auto"/>
            <w:vAlign w:val="bottom"/>
          </w:tcPr>
          <w:p w:rsidR="00F6663A" w:rsidRPr="00094963" w:rsidRDefault="008F1C77" w:rsidP="00F6663A">
            <w:pPr>
              <w:jc w:val="center"/>
            </w:pPr>
            <w:r>
              <w:t>19.15</w:t>
            </w:r>
          </w:p>
        </w:tc>
        <w:tc>
          <w:tcPr>
            <w:tcW w:w="273" w:type="pct"/>
            <w:tcBorders>
              <w:left w:val="single" w:sz="12" w:space="0" w:color="auto"/>
            </w:tcBorders>
            <w:shd w:val="clear" w:color="auto" w:fill="auto"/>
          </w:tcPr>
          <w:p w:rsidR="00F6663A" w:rsidRDefault="00F6663A" w:rsidP="00F6663A">
            <w:pPr>
              <w:jc w:val="center"/>
            </w:pPr>
            <w:r>
              <w:rPr>
                <w:rFonts w:cstheme="minorHAnsi"/>
              </w:rPr>
              <w:t>↑</w:t>
            </w:r>
          </w:p>
        </w:tc>
      </w:tr>
      <w:tr w:rsidR="00F6663A" w:rsidRPr="00BC4F7A" w:rsidTr="00F6663A">
        <w:tc>
          <w:tcPr>
            <w:tcW w:w="2735" w:type="pct"/>
          </w:tcPr>
          <w:p w:rsidR="00F6663A" w:rsidRPr="00BC4F7A" w:rsidRDefault="00F6663A" w:rsidP="00F6663A">
            <w:pPr>
              <w:rPr>
                <w:szCs w:val="24"/>
              </w:rPr>
            </w:pPr>
            <w:r w:rsidRPr="00BC4F7A">
              <w:rPr>
                <w:szCs w:val="24"/>
              </w:rPr>
              <w:t xml:space="preserve">% </w:t>
            </w:r>
            <w:r w:rsidR="0049360E">
              <w:rPr>
                <w:szCs w:val="24"/>
              </w:rPr>
              <w:t>B</w:t>
            </w:r>
            <w:r>
              <w:rPr>
                <w:szCs w:val="24"/>
              </w:rPr>
              <w:t xml:space="preserve">onus </w:t>
            </w:r>
            <w:r w:rsidR="0049360E">
              <w:rPr>
                <w:szCs w:val="24"/>
              </w:rPr>
              <w:t>P</w:t>
            </w:r>
            <w:r>
              <w:rPr>
                <w:szCs w:val="24"/>
              </w:rPr>
              <w:t xml:space="preserve">ay </w:t>
            </w:r>
            <w:r w:rsidR="0049360E">
              <w:rPr>
                <w:szCs w:val="24"/>
              </w:rPr>
              <w:t>R</w:t>
            </w:r>
            <w:r>
              <w:rPr>
                <w:szCs w:val="24"/>
              </w:rPr>
              <w:t xml:space="preserve">ecipients </w:t>
            </w:r>
            <w:r w:rsidR="0049360E">
              <w:rPr>
                <w:szCs w:val="24"/>
              </w:rPr>
              <w:t>W</w:t>
            </w:r>
            <w:r>
              <w:rPr>
                <w:szCs w:val="24"/>
              </w:rPr>
              <w:t xml:space="preserve">ho </w:t>
            </w:r>
            <w:r w:rsidR="0049360E">
              <w:rPr>
                <w:szCs w:val="24"/>
              </w:rPr>
              <w:t>A</w:t>
            </w:r>
            <w:r>
              <w:rPr>
                <w:szCs w:val="24"/>
              </w:rPr>
              <w:t>re White</w:t>
            </w:r>
          </w:p>
        </w:tc>
        <w:tc>
          <w:tcPr>
            <w:tcW w:w="664" w:type="pct"/>
            <w:tcBorders>
              <w:left w:val="single" w:sz="12" w:space="0" w:color="auto"/>
              <w:bottom w:val="single" w:sz="12" w:space="0" w:color="auto"/>
              <w:right w:val="single" w:sz="12" w:space="0" w:color="auto"/>
            </w:tcBorders>
            <w:shd w:val="clear" w:color="auto" w:fill="auto"/>
          </w:tcPr>
          <w:p w:rsidR="00F6663A" w:rsidRDefault="00F6663A" w:rsidP="00F6663A">
            <w:pPr>
              <w:jc w:val="center"/>
            </w:pPr>
            <w:r>
              <w:t>91.47</w:t>
            </w:r>
          </w:p>
        </w:tc>
        <w:tc>
          <w:tcPr>
            <w:tcW w:w="664" w:type="pct"/>
            <w:tcBorders>
              <w:top w:val="single" w:sz="4" w:space="0" w:color="auto"/>
              <w:left w:val="single" w:sz="12" w:space="0" w:color="auto"/>
              <w:bottom w:val="single" w:sz="12" w:space="0" w:color="auto"/>
              <w:right w:val="single" w:sz="4" w:space="0" w:color="auto"/>
            </w:tcBorders>
            <w:shd w:val="clear" w:color="auto" w:fill="auto"/>
            <w:vAlign w:val="bottom"/>
          </w:tcPr>
          <w:p w:rsidR="00F6663A" w:rsidRDefault="00F6663A" w:rsidP="00F6663A">
            <w:pPr>
              <w:jc w:val="center"/>
            </w:pPr>
            <w:r w:rsidRPr="00094963">
              <w:rPr>
                <w:rFonts w:ascii="Calibri" w:hAnsi="Calibri" w:cs="Calibri"/>
                <w:color w:val="000000"/>
              </w:rPr>
              <w:t>83.02</w:t>
            </w:r>
          </w:p>
        </w:tc>
        <w:tc>
          <w:tcPr>
            <w:tcW w:w="664" w:type="pct"/>
            <w:tcBorders>
              <w:top w:val="single" w:sz="4" w:space="0" w:color="auto"/>
              <w:left w:val="single" w:sz="12" w:space="0" w:color="auto"/>
              <w:bottom w:val="single" w:sz="12" w:space="0" w:color="auto"/>
              <w:right w:val="single" w:sz="4" w:space="0" w:color="auto"/>
            </w:tcBorders>
            <w:shd w:val="clear" w:color="auto" w:fill="auto"/>
            <w:vAlign w:val="bottom"/>
          </w:tcPr>
          <w:p w:rsidR="00F6663A" w:rsidRPr="00094963" w:rsidRDefault="008F1C77" w:rsidP="00F6663A">
            <w:pPr>
              <w:jc w:val="center"/>
            </w:pPr>
            <w:r>
              <w:t>80.85</w:t>
            </w:r>
          </w:p>
        </w:tc>
        <w:tc>
          <w:tcPr>
            <w:tcW w:w="273" w:type="pct"/>
            <w:tcBorders>
              <w:left w:val="single" w:sz="12" w:space="0" w:color="auto"/>
            </w:tcBorders>
            <w:shd w:val="clear" w:color="auto" w:fill="auto"/>
          </w:tcPr>
          <w:p w:rsidR="00F6663A" w:rsidRDefault="00F6663A" w:rsidP="00F6663A">
            <w:pPr>
              <w:jc w:val="center"/>
            </w:pPr>
            <w:r>
              <w:rPr>
                <w:rFonts w:cstheme="minorHAnsi"/>
              </w:rPr>
              <w:t>↓</w:t>
            </w:r>
          </w:p>
        </w:tc>
      </w:tr>
      <w:tr w:rsidR="00F6663A" w:rsidRPr="00BC4F7A" w:rsidTr="00F6663A">
        <w:tc>
          <w:tcPr>
            <w:tcW w:w="2735" w:type="pct"/>
            <w:tcBorders>
              <w:top w:val="single" w:sz="12" w:space="0" w:color="auto"/>
            </w:tcBorders>
          </w:tcPr>
          <w:p w:rsidR="00F6663A" w:rsidRPr="00BC4F7A" w:rsidRDefault="00F6663A" w:rsidP="00F6663A">
            <w:pPr>
              <w:rPr>
                <w:szCs w:val="24"/>
              </w:rPr>
            </w:pPr>
            <w:r>
              <w:rPr>
                <w:szCs w:val="24"/>
              </w:rPr>
              <w:t>Quartile 1 % POC</w:t>
            </w:r>
          </w:p>
        </w:tc>
        <w:tc>
          <w:tcPr>
            <w:tcW w:w="664" w:type="pct"/>
            <w:tcBorders>
              <w:top w:val="single" w:sz="12" w:space="0" w:color="auto"/>
              <w:left w:val="single" w:sz="12" w:space="0" w:color="auto"/>
            </w:tcBorders>
            <w:shd w:val="clear" w:color="auto" w:fill="auto"/>
          </w:tcPr>
          <w:p w:rsidR="00F6663A" w:rsidRDefault="00F6663A" w:rsidP="00F6663A">
            <w:pPr>
              <w:jc w:val="center"/>
            </w:pPr>
            <w:r>
              <w:t>11.45</w:t>
            </w:r>
          </w:p>
        </w:tc>
        <w:tc>
          <w:tcPr>
            <w:tcW w:w="664" w:type="pct"/>
            <w:tcBorders>
              <w:top w:val="single" w:sz="12" w:space="0" w:color="auto"/>
              <w:left w:val="single" w:sz="12" w:space="0" w:color="auto"/>
            </w:tcBorders>
            <w:shd w:val="clear" w:color="auto" w:fill="auto"/>
          </w:tcPr>
          <w:p w:rsidR="00F6663A" w:rsidRDefault="00F6663A" w:rsidP="00F6663A">
            <w:pPr>
              <w:jc w:val="center"/>
            </w:pPr>
            <w:r>
              <w:t>12.51</w:t>
            </w:r>
          </w:p>
        </w:tc>
        <w:tc>
          <w:tcPr>
            <w:tcW w:w="664" w:type="pct"/>
            <w:tcBorders>
              <w:top w:val="single" w:sz="12" w:space="0" w:color="auto"/>
              <w:left w:val="single" w:sz="12" w:space="0" w:color="auto"/>
            </w:tcBorders>
            <w:shd w:val="clear" w:color="auto" w:fill="auto"/>
          </w:tcPr>
          <w:p w:rsidR="00F6663A" w:rsidRPr="002F1286" w:rsidRDefault="008F1C77" w:rsidP="00F6663A">
            <w:pPr>
              <w:jc w:val="center"/>
            </w:pPr>
            <w:r>
              <w:t>15.56</w:t>
            </w:r>
          </w:p>
        </w:tc>
        <w:tc>
          <w:tcPr>
            <w:tcW w:w="273" w:type="pct"/>
            <w:tcBorders>
              <w:top w:val="single" w:sz="12" w:space="0" w:color="auto"/>
              <w:left w:val="single" w:sz="12" w:space="0" w:color="auto"/>
            </w:tcBorders>
            <w:shd w:val="clear" w:color="auto" w:fill="auto"/>
          </w:tcPr>
          <w:p w:rsidR="00F6663A" w:rsidRDefault="00F6663A" w:rsidP="00F6663A">
            <w:pPr>
              <w:jc w:val="center"/>
            </w:pPr>
            <w:r w:rsidRPr="000B48DA">
              <w:t>↑</w:t>
            </w:r>
          </w:p>
        </w:tc>
      </w:tr>
      <w:tr w:rsidR="00F6663A" w:rsidRPr="00BC4F7A" w:rsidTr="00F6663A">
        <w:tc>
          <w:tcPr>
            <w:tcW w:w="2735" w:type="pct"/>
          </w:tcPr>
          <w:p w:rsidR="00F6663A" w:rsidRPr="00BC4F7A" w:rsidRDefault="00F6663A" w:rsidP="00F6663A">
            <w:pPr>
              <w:rPr>
                <w:szCs w:val="24"/>
              </w:rPr>
            </w:pPr>
            <w:r w:rsidRPr="00BC4F7A">
              <w:rPr>
                <w:szCs w:val="24"/>
              </w:rPr>
              <w:t xml:space="preserve">Quartile 2 % </w:t>
            </w:r>
            <w:r>
              <w:rPr>
                <w:szCs w:val="24"/>
              </w:rPr>
              <w:t>POC</w:t>
            </w:r>
          </w:p>
        </w:tc>
        <w:tc>
          <w:tcPr>
            <w:tcW w:w="664" w:type="pct"/>
            <w:tcBorders>
              <w:left w:val="single" w:sz="12" w:space="0" w:color="auto"/>
            </w:tcBorders>
            <w:shd w:val="clear" w:color="auto" w:fill="auto"/>
          </w:tcPr>
          <w:p w:rsidR="00F6663A" w:rsidRDefault="00F6663A" w:rsidP="00F6663A">
            <w:pPr>
              <w:jc w:val="center"/>
            </w:pPr>
            <w:r>
              <w:t>9.32</w:t>
            </w:r>
          </w:p>
        </w:tc>
        <w:tc>
          <w:tcPr>
            <w:tcW w:w="664" w:type="pct"/>
            <w:tcBorders>
              <w:left w:val="single" w:sz="12" w:space="0" w:color="auto"/>
            </w:tcBorders>
            <w:shd w:val="clear" w:color="auto" w:fill="auto"/>
          </w:tcPr>
          <w:p w:rsidR="00F6663A" w:rsidRDefault="00F6663A" w:rsidP="00F6663A">
            <w:pPr>
              <w:jc w:val="center"/>
            </w:pPr>
            <w:r>
              <w:t>11.30</w:t>
            </w:r>
          </w:p>
        </w:tc>
        <w:tc>
          <w:tcPr>
            <w:tcW w:w="664" w:type="pct"/>
            <w:tcBorders>
              <w:left w:val="single" w:sz="12" w:space="0" w:color="auto"/>
            </w:tcBorders>
            <w:shd w:val="clear" w:color="auto" w:fill="auto"/>
          </w:tcPr>
          <w:p w:rsidR="00F6663A" w:rsidRPr="002F1286" w:rsidRDefault="008F1C77" w:rsidP="00F6663A">
            <w:pPr>
              <w:jc w:val="center"/>
            </w:pPr>
            <w:r>
              <w:t>11.28</w:t>
            </w:r>
          </w:p>
        </w:tc>
        <w:tc>
          <w:tcPr>
            <w:tcW w:w="273" w:type="pct"/>
            <w:tcBorders>
              <w:left w:val="single" w:sz="12" w:space="0" w:color="auto"/>
            </w:tcBorders>
            <w:shd w:val="clear" w:color="auto" w:fill="auto"/>
          </w:tcPr>
          <w:p w:rsidR="00F6663A" w:rsidRDefault="008F1C77" w:rsidP="00F6663A">
            <w:pPr>
              <w:jc w:val="center"/>
            </w:pPr>
            <w:r>
              <w:rPr>
                <w:rFonts w:cstheme="minorHAnsi"/>
              </w:rPr>
              <w:t>↓</w:t>
            </w:r>
          </w:p>
        </w:tc>
      </w:tr>
      <w:tr w:rsidR="00F6663A" w:rsidRPr="00BC4F7A" w:rsidTr="00F6663A">
        <w:tc>
          <w:tcPr>
            <w:tcW w:w="2735" w:type="pct"/>
            <w:tcBorders>
              <w:bottom w:val="single" w:sz="4" w:space="0" w:color="auto"/>
            </w:tcBorders>
          </w:tcPr>
          <w:p w:rsidR="00F6663A" w:rsidRPr="00BC4F7A" w:rsidRDefault="00F6663A" w:rsidP="00F6663A">
            <w:pPr>
              <w:rPr>
                <w:szCs w:val="24"/>
              </w:rPr>
            </w:pPr>
            <w:r>
              <w:rPr>
                <w:szCs w:val="24"/>
              </w:rPr>
              <w:t>Quartile 3 % POC</w:t>
            </w:r>
          </w:p>
        </w:tc>
        <w:tc>
          <w:tcPr>
            <w:tcW w:w="664" w:type="pct"/>
            <w:tcBorders>
              <w:left w:val="single" w:sz="12" w:space="0" w:color="auto"/>
              <w:bottom w:val="single" w:sz="4" w:space="0" w:color="auto"/>
            </w:tcBorders>
            <w:shd w:val="clear" w:color="auto" w:fill="auto"/>
          </w:tcPr>
          <w:p w:rsidR="00F6663A" w:rsidRDefault="00F6663A" w:rsidP="00F6663A">
            <w:pPr>
              <w:jc w:val="center"/>
            </w:pPr>
            <w:r>
              <w:t>15.25</w:t>
            </w:r>
          </w:p>
        </w:tc>
        <w:tc>
          <w:tcPr>
            <w:tcW w:w="664" w:type="pct"/>
            <w:tcBorders>
              <w:left w:val="single" w:sz="12" w:space="0" w:color="auto"/>
              <w:bottom w:val="single" w:sz="4" w:space="0" w:color="auto"/>
            </w:tcBorders>
            <w:shd w:val="clear" w:color="auto" w:fill="auto"/>
          </w:tcPr>
          <w:p w:rsidR="00F6663A" w:rsidRDefault="00F6663A" w:rsidP="00F6663A">
            <w:pPr>
              <w:jc w:val="center"/>
            </w:pPr>
            <w:r>
              <w:t>15.92</w:t>
            </w:r>
          </w:p>
        </w:tc>
        <w:tc>
          <w:tcPr>
            <w:tcW w:w="664" w:type="pct"/>
            <w:tcBorders>
              <w:left w:val="single" w:sz="12" w:space="0" w:color="auto"/>
              <w:bottom w:val="single" w:sz="4" w:space="0" w:color="auto"/>
            </w:tcBorders>
            <w:shd w:val="clear" w:color="auto" w:fill="auto"/>
          </w:tcPr>
          <w:p w:rsidR="00F6663A" w:rsidRPr="002F1286" w:rsidRDefault="008F1C77" w:rsidP="00F6663A">
            <w:pPr>
              <w:jc w:val="center"/>
            </w:pPr>
            <w:r>
              <w:t>16.55</w:t>
            </w:r>
          </w:p>
        </w:tc>
        <w:tc>
          <w:tcPr>
            <w:tcW w:w="273" w:type="pct"/>
            <w:tcBorders>
              <w:left w:val="single" w:sz="12" w:space="0" w:color="auto"/>
              <w:bottom w:val="single" w:sz="4" w:space="0" w:color="auto"/>
            </w:tcBorders>
            <w:shd w:val="clear" w:color="auto" w:fill="auto"/>
          </w:tcPr>
          <w:p w:rsidR="00F6663A" w:rsidRDefault="00F6663A" w:rsidP="00F6663A">
            <w:pPr>
              <w:jc w:val="center"/>
            </w:pPr>
            <w:r w:rsidRPr="000B48DA">
              <w:t>↑</w:t>
            </w:r>
          </w:p>
        </w:tc>
      </w:tr>
      <w:tr w:rsidR="00F6663A" w:rsidRPr="00BC4F7A" w:rsidTr="00747866">
        <w:tc>
          <w:tcPr>
            <w:tcW w:w="2735" w:type="pct"/>
          </w:tcPr>
          <w:p w:rsidR="00F6663A" w:rsidRPr="00BC4F7A" w:rsidRDefault="00F6663A" w:rsidP="00F6663A">
            <w:pPr>
              <w:rPr>
                <w:szCs w:val="24"/>
              </w:rPr>
            </w:pPr>
            <w:r>
              <w:rPr>
                <w:szCs w:val="24"/>
              </w:rPr>
              <w:t>Quartile 4 % POC</w:t>
            </w:r>
          </w:p>
        </w:tc>
        <w:tc>
          <w:tcPr>
            <w:tcW w:w="664" w:type="pct"/>
            <w:tcBorders>
              <w:left w:val="single" w:sz="12" w:space="0" w:color="auto"/>
            </w:tcBorders>
            <w:shd w:val="clear" w:color="auto" w:fill="auto"/>
          </w:tcPr>
          <w:p w:rsidR="00F6663A" w:rsidRDefault="00F6663A" w:rsidP="00F6663A">
            <w:pPr>
              <w:jc w:val="center"/>
            </w:pPr>
            <w:r>
              <w:t>10.47</w:t>
            </w:r>
          </w:p>
        </w:tc>
        <w:tc>
          <w:tcPr>
            <w:tcW w:w="664" w:type="pct"/>
            <w:tcBorders>
              <w:left w:val="single" w:sz="12" w:space="0" w:color="auto"/>
            </w:tcBorders>
            <w:shd w:val="clear" w:color="auto" w:fill="auto"/>
          </w:tcPr>
          <w:p w:rsidR="00F6663A" w:rsidRDefault="00F6663A" w:rsidP="00F6663A">
            <w:pPr>
              <w:jc w:val="center"/>
            </w:pPr>
            <w:r>
              <w:t>11.54</w:t>
            </w:r>
          </w:p>
        </w:tc>
        <w:tc>
          <w:tcPr>
            <w:tcW w:w="664" w:type="pct"/>
            <w:tcBorders>
              <w:left w:val="single" w:sz="12" w:space="0" w:color="auto"/>
            </w:tcBorders>
            <w:shd w:val="clear" w:color="auto" w:fill="auto"/>
          </w:tcPr>
          <w:p w:rsidR="00F6663A" w:rsidRPr="002F1286" w:rsidRDefault="008F1C77" w:rsidP="00F6663A">
            <w:pPr>
              <w:jc w:val="center"/>
            </w:pPr>
            <w:r>
              <w:t>11.60</w:t>
            </w:r>
          </w:p>
        </w:tc>
        <w:tc>
          <w:tcPr>
            <w:tcW w:w="273" w:type="pct"/>
            <w:tcBorders>
              <w:left w:val="single" w:sz="12" w:space="0" w:color="auto"/>
            </w:tcBorders>
            <w:shd w:val="clear" w:color="auto" w:fill="auto"/>
          </w:tcPr>
          <w:p w:rsidR="00F6663A" w:rsidRDefault="00F6663A" w:rsidP="00F6663A">
            <w:pPr>
              <w:jc w:val="center"/>
            </w:pPr>
            <w:r>
              <w:rPr>
                <w:rFonts w:cstheme="minorHAnsi"/>
              </w:rPr>
              <w:t>↑</w:t>
            </w:r>
          </w:p>
        </w:tc>
      </w:tr>
    </w:tbl>
    <w:p w:rsidR="00970940" w:rsidRDefault="00970940" w:rsidP="000C4CE7">
      <w:pPr>
        <w:pStyle w:val="NoSpacing"/>
        <w:rPr>
          <w:sz w:val="10"/>
          <w:szCs w:val="10"/>
        </w:rPr>
      </w:pPr>
    </w:p>
    <w:p w:rsidR="00A55CA4" w:rsidRDefault="00A55CA4" w:rsidP="00A55CA4">
      <w:pPr>
        <w:pStyle w:val="Caption"/>
        <w:spacing w:before="200"/>
        <w:rPr>
          <w:iCs w:val="0"/>
          <w:color w:val="auto"/>
        </w:rPr>
      </w:pPr>
    </w:p>
    <w:p w:rsidR="00A55CA4" w:rsidRDefault="00A55CA4" w:rsidP="00A55CA4">
      <w:pPr>
        <w:keepNext/>
      </w:pPr>
      <w:r>
        <w:rPr>
          <w:noProof/>
        </w:rPr>
        <w:drawing>
          <wp:inline distT="0" distB="0" distL="0" distR="0" wp14:anchorId="2486C30D" wp14:editId="60F59DB7">
            <wp:extent cx="5759450" cy="2639122"/>
            <wp:effectExtent l="0" t="0" r="12700" b="8890"/>
            <wp:docPr id="14" name="Chart 14">
              <a:extLst xmlns:a="http://schemas.openxmlformats.org/drawingml/2006/main">
                <a:ext uri="{FF2B5EF4-FFF2-40B4-BE49-F238E27FC236}">
                  <a16:creationId xmlns:a16="http://schemas.microsoft.com/office/drawing/2014/main"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55CA4" w:rsidRPr="005541EA" w:rsidRDefault="00A55CA4" w:rsidP="00AC7373">
      <w:r w:rsidRPr="005541EA">
        <w:rPr>
          <w:sz w:val="18"/>
          <w:szCs w:val="18"/>
        </w:rPr>
        <w:t xml:space="preserve">Figure </w:t>
      </w:r>
      <w:r w:rsidRPr="005541EA">
        <w:rPr>
          <w:sz w:val="18"/>
          <w:szCs w:val="18"/>
        </w:rPr>
        <w:fldChar w:fldCharType="begin"/>
      </w:r>
      <w:r w:rsidRPr="005541EA">
        <w:rPr>
          <w:sz w:val="18"/>
          <w:szCs w:val="18"/>
        </w:rPr>
        <w:instrText xml:space="preserve"> SEQ Figure \* ARABIC </w:instrText>
      </w:r>
      <w:r w:rsidRPr="005541EA">
        <w:rPr>
          <w:sz w:val="18"/>
          <w:szCs w:val="18"/>
        </w:rPr>
        <w:fldChar w:fldCharType="separate"/>
      </w:r>
      <w:r w:rsidR="005541EA">
        <w:rPr>
          <w:noProof/>
          <w:sz w:val="18"/>
          <w:szCs w:val="18"/>
        </w:rPr>
        <w:t>5</w:t>
      </w:r>
      <w:r w:rsidRPr="005541EA">
        <w:rPr>
          <w:sz w:val="18"/>
          <w:szCs w:val="18"/>
        </w:rPr>
        <w:fldChar w:fldCharType="end"/>
      </w:r>
      <w:r w:rsidRPr="005541EA">
        <w:rPr>
          <w:sz w:val="18"/>
          <w:szCs w:val="18"/>
        </w:rPr>
        <w:t>: FPRE POC Population by Grade 2022</w:t>
      </w:r>
    </w:p>
    <w:p w:rsidR="00A55CA4" w:rsidRPr="00AC7373" w:rsidRDefault="00A55CA4" w:rsidP="00AC7373">
      <w:pPr>
        <w:rPr>
          <w:sz w:val="18"/>
          <w:szCs w:val="18"/>
        </w:rPr>
      </w:pPr>
    </w:p>
    <w:p w:rsidR="00747866" w:rsidRDefault="00747866" w:rsidP="00AC7373">
      <w:pPr>
        <w:pStyle w:val="Caption"/>
        <w:spacing w:before="200"/>
      </w:pPr>
      <w:r>
        <w:rPr>
          <w:noProof/>
        </w:rPr>
        <w:lastRenderedPageBreak/>
        <w:drawing>
          <wp:inline distT="0" distB="0" distL="0" distR="0" wp14:anchorId="3260F7B8" wp14:editId="6B4AC15E">
            <wp:extent cx="5759450" cy="2408664"/>
            <wp:effectExtent l="0" t="0" r="12700" b="10795"/>
            <wp:docPr id="18" name="Chart 18">
              <a:extLst xmlns:a="http://schemas.openxmlformats.org/drawingml/2006/main">
                <a:ext uri="{FF2B5EF4-FFF2-40B4-BE49-F238E27FC236}">
                  <a16:creationId xmlns:a16="http://schemas.microsoft.com/office/drawing/2014/main" id="{EF3AC30D-3DAF-40DD-90FD-1ACA0D0BCB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47866" w:rsidRPr="00B03165" w:rsidRDefault="00747866" w:rsidP="00747866">
      <w:pPr>
        <w:pStyle w:val="Caption"/>
        <w:spacing w:before="200"/>
        <w:rPr>
          <w:i w:val="0"/>
          <w:color w:val="auto"/>
        </w:rPr>
      </w:pPr>
      <w:bookmarkStart w:id="23" w:name="_Toc118197738"/>
      <w:r w:rsidRPr="00520CA9">
        <w:rPr>
          <w:i w:val="0"/>
          <w:color w:val="auto"/>
        </w:rPr>
        <w:t xml:space="preserve">Figure </w:t>
      </w:r>
      <w:r w:rsidR="005541EA">
        <w:rPr>
          <w:i w:val="0"/>
          <w:color w:val="auto"/>
        </w:rPr>
        <w:t>6</w:t>
      </w:r>
      <w:r w:rsidRPr="00520CA9">
        <w:rPr>
          <w:i w:val="0"/>
          <w:color w:val="auto"/>
        </w:rPr>
        <w:t xml:space="preserve">: % </w:t>
      </w:r>
      <w:r>
        <w:rPr>
          <w:i w:val="0"/>
          <w:color w:val="auto"/>
        </w:rPr>
        <w:t>D</w:t>
      </w:r>
      <w:r w:rsidRPr="00520CA9">
        <w:rPr>
          <w:i w:val="0"/>
          <w:color w:val="auto"/>
        </w:rPr>
        <w:t xml:space="preserve">istribution </w:t>
      </w:r>
      <w:r>
        <w:rPr>
          <w:i w:val="0"/>
          <w:color w:val="auto"/>
        </w:rPr>
        <w:t>of POC</w:t>
      </w:r>
      <w:r w:rsidRPr="00520CA9">
        <w:rPr>
          <w:i w:val="0"/>
          <w:color w:val="auto"/>
        </w:rPr>
        <w:t xml:space="preserve"> and White </w:t>
      </w:r>
      <w:r>
        <w:rPr>
          <w:i w:val="0"/>
          <w:color w:val="auto"/>
        </w:rPr>
        <w:t>FPRE</w:t>
      </w:r>
      <w:r w:rsidRPr="00520CA9">
        <w:rPr>
          <w:i w:val="0"/>
          <w:color w:val="auto"/>
        </w:rPr>
        <w:t xml:space="preserve"> by Job Group 202</w:t>
      </w:r>
      <w:r>
        <w:rPr>
          <w:i w:val="0"/>
          <w:color w:val="auto"/>
        </w:rPr>
        <w:t>2</w:t>
      </w:r>
      <w:bookmarkEnd w:id="23"/>
    </w:p>
    <w:p w:rsidR="00725FDB" w:rsidRPr="009837ED" w:rsidRDefault="00725FDB" w:rsidP="00725FDB">
      <w:r>
        <w:t>Please see section 2 ‘</w:t>
      </w:r>
      <w:r w:rsidRPr="00725FDB">
        <w:t>Executive Summary</w:t>
      </w:r>
      <w:r>
        <w:t xml:space="preserve">’ for a summary of key observations and causes of the ethnicity pay gap. </w:t>
      </w:r>
    </w:p>
    <w:p w:rsidR="00725FDB" w:rsidRPr="00747866" w:rsidRDefault="00725FDB" w:rsidP="00747866"/>
    <w:p w:rsidR="00770E58" w:rsidRDefault="00770E58" w:rsidP="00D1110D">
      <w:pPr>
        <w:pStyle w:val="Heading1"/>
        <w:numPr>
          <w:ilvl w:val="0"/>
          <w:numId w:val="6"/>
        </w:numPr>
        <w:shd w:val="clear" w:color="auto" w:fill="D9E2F3" w:themeFill="accent5" w:themeFillTint="33"/>
      </w:pPr>
      <w:bookmarkStart w:id="24" w:name="_Toc125731585"/>
      <w:r w:rsidRPr="00770E58">
        <w:t>Disability Pay Gap</w:t>
      </w:r>
      <w:bookmarkEnd w:id="24"/>
    </w:p>
    <w:p w:rsidR="00D366C0" w:rsidRDefault="00D366C0" w:rsidP="00A0389C">
      <w:r>
        <w:t xml:space="preserve">A </w:t>
      </w:r>
      <w:r w:rsidRPr="008D455D">
        <w:t xml:space="preserve">positive </w:t>
      </w:r>
      <w:r w:rsidRPr="008D455D">
        <w:rPr>
          <w:b/>
        </w:rPr>
        <w:t>black</w:t>
      </w:r>
      <w:r>
        <w:rPr>
          <w:b/>
        </w:rPr>
        <w:t xml:space="preserve"> </w:t>
      </w:r>
      <w:r w:rsidRPr="00D366C0">
        <w:t>number</w:t>
      </w:r>
      <w:r>
        <w:t xml:space="preserve">, </w:t>
      </w:r>
      <w:r w:rsidRPr="008D455D">
        <w:t xml:space="preserve">means that </w:t>
      </w:r>
      <w:r>
        <w:t>there</w:t>
      </w:r>
      <w:r w:rsidR="0085090F">
        <w:t xml:space="preserve"> is a pay gap in favour of the no known disability group</w:t>
      </w:r>
      <w:r w:rsidRPr="008D455D">
        <w:t>, where</w:t>
      </w:r>
      <w:r>
        <w:t>as</w:t>
      </w:r>
      <w:r w:rsidRPr="008D455D">
        <w:t xml:space="preserve"> a negative </w:t>
      </w:r>
      <w:r w:rsidRPr="008D455D">
        <w:rPr>
          <w:b/>
          <w:color w:val="FF0000"/>
        </w:rPr>
        <w:t>red</w:t>
      </w:r>
      <w:r>
        <w:rPr>
          <w:b/>
          <w:color w:val="FF0000"/>
        </w:rPr>
        <w:t xml:space="preserve"> </w:t>
      </w:r>
      <w:r w:rsidRPr="00D366C0">
        <w:t xml:space="preserve">number </w:t>
      </w:r>
      <w:r w:rsidRPr="008D455D">
        <w:t>m</w:t>
      </w:r>
      <w:r>
        <w:t xml:space="preserve">eans that there is a pay gap in </w:t>
      </w:r>
      <w:r w:rsidRPr="008D455D">
        <w:t>favour of</w:t>
      </w:r>
      <w:r w:rsidR="0085090F">
        <w:t xml:space="preserve"> the k</w:t>
      </w:r>
      <w:r>
        <w:t>nown disability group</w:t>
      </w:r>
      <w:r w:rsidRPr="008D455D">
        <w:t>.</w:t>
      </w:r>
    </w:p>
    <w:p w:rsidR="00AB0A5A" w:rsidRPr="008D455D" w:rsidRDefault="0075442B" w:rsidP="00A0389C">
      <w:r>
        <w:t>6972</w:t>
      </w:r>
      <w:r w:rsidR="003A6BBC">
        <w:t xml:space="preserve"> </w:t>
      </w:r>
      <w:r w:rsidR="00AB0A5A" w:rsidRPr="008D455D">
        <w:t xml:space="preserve">Full </w:t>
      </w:r>
      <w:r w:rsidR="00AB0A5A" w:rsidRPr="0075442B">
        <w:t>Pay Relevant Employees are included in the Statutory Disability Pay Gap cal</w:t>
      </w:r>
      <w:r w:rsidR="00890C5C" w:rsidRPr="0075442B">
        <w:t>culation</w:t>
      </w:r>
      <w:r w:rsidR="003A6BBC" w:rsidRPr="0075442B">
        <w:t xml:space="preserve">, of which </w:t>
      </w:r>
      <w:r w:rsidRPr="0075442B">
        <w:t>406</w:t>
      </w:r>
      <w:r w:rsidR="003A6BBC" w:rsidRPr="0075442B">
        <w:t xml:space="preserve"> (</w:t>
      </w:r>
      <w:r w:rsidRPr="0075442B">
        <w:t>5.8</w:t>
      </w:r>
      <w:r w:rsidR="005C6488" w:rsidRPr="0075442B">
        <w:t xml:space="preserve">%) </w:t>
      </w:r>
      <w:r w:rsidR="00AB0A5A" w:rsidRPr="0075442B">
        <w:t>were known to have a disability</w:t>
      </w:r>
      <w:r w:rsidR="003A6BBC" w:rsidRPr="0075442B">
        <w:t xml:space="preserve">, and </w:t>
      </w:r>
      <w:r w:rsidRPr="0075442B">
        <w:t>6566</w:t>
      </w:r>
      <w:r w:rsidR="003A6BBC" w:rsidRPr="0075442B">
        <w:t xml:space="preserve"> (</w:t>
      </w:r>
      <w:r w:rsidRPr="0075442B">
        <w:t>94.2</w:t>
      </w:r>
      <w:r w:rsidR="003A6BBC" w:rsidRPr="0075442B">
        <w:t>%</w:t>
      </w:r>
      <w:r w:rsidR="00AB0A5A" w:rsidRPr="0075442B">
        <w:t xml:space="preserve">) had no known disability. </w:t>
      </w:r>
      <w:r w:rsidR="002A1DF8" w:rsidRPr="0075442B">
        <w:t>This</w:t>
      </w:r>
      <w:r w:rsidR="003A6BBC" w:rsidRPr="0075442B">
        <w:t xml:space="preserve"> represents an increase from </w:t>
      </w:r>
      <w:r w:rsidR="00F153CD" w:rsidRPr="0075442B">
        <w:t>383</w:t>
      </w:r>
      <w:r w:rsidR="003A6BBC" w:rsidRPr="0075442B">
        <w:t xml:space="preserve"> known disabled staff in 202</w:t>
      </w:r>
      <w:r w:rsidR="00F153CD" w:rsidRPr="0075442B">
        <w:t>1</w:t>
      </w:r>
      <w:r w:rsidR="003A6BBC" w:rsidRPr="0075442B">
        <w:t>.</w:t>
      </w:r>
    </w:p>
    <w:p w:rsidR="00AB0A5A" w:rsidRDefault="00AB0A5A" w:rsidP="002B0327">
      <w:pPr>
        <w:keepNext/>
        <w:spacing w:before="200" w:after="200" w:line="240" w:lineRule="auto"/>
        <w:rPr>
          <w:iCs/>
          <w:sz w:val="18"/>
          <w:szCs w:val="18"/>
        </w:rPr>
      </w:pPr>
      <w:bookmarkStart w:id="25" w:name="_Toc119569376"/>
      <w:r w:rsidRPr="004205C1">
        <w:rPr>
          <w:iCs/>
          <w:sz w:val="18"/>
          <w:szCs w:val="18"/>
        </w:rPr>
        <w:t>Table</w:t>
      </w:r>
      <w:r w:rsidR="005541EA">
        <w:rPr>
          <w:iCs/>
          <w:sz w:val="18"/>
          <w:szCs w:val="18"/>
        </w:rPr>
        <w:t xml:space="preserve"> 9:</w:t>
      </w:r>
      <w:r w:rsidR="00CC04D8" w:rsidRPr="004205C1">
        <w:rPr>
          <w:iCs/>
          <w:sz w:val="18"/>
          <w:szCs w:val="18"/>
        </w:rPr>
        <w:t xml:space="preserve"> Statutory Disability</w:t>
      </w:r>
      <w:r w:rsidRPr="004205C1">
        <w:rPr>
          <w:iCs/>
          <w:sz w:val="18"/>
          <w:szCs w:val="18"/>
        </w:rPr>
        <w:t xml:space="preserve"> Pay Gap </w:t>
      </w:r>
      <w:r w:rsidR="0025353B">
        <w:rPr>
          <w:iCs/>
          <w:sz w:val="18"/>
          <w:szCs w:val="18"/>
        </w:rPr>
        <w:t>D</w:t>
      </w:r>
      <w:r w:rsidRPr="004205C1">
        <w:rPr>
          <w:iCs/>
          <w:sz w:val="18"/>
          <w:szCs w:val="18"/>
        </w:rPr>
        <w:t>ata</w:t>
      </w:r>
      <w:bookmarkEnd w:id="25"/>
    </w:p>
    <w:tbl>
      <w:tblPr>
        <w:tblStyle w:val="TableGrid"/>
        <w:tblW w:w="5000" w:type="pct"/>
        <w:tblLook w:val="04A0" w:firstRow="1" w:lastRow="0" w:firstColumn="1" w:lastColumn="0" w:noHBand="0" w:noVBand="1"/>
        <w:tblCaption w:val="Statutory Disability Pay Gap Data"/>
        <w:tblDescription w:val="2017 to 2020"/>
      </w:tblPr>
      <w:tblGrid>
        <w:gridCol w:w="4925"/>
        <w:gridCol w:w="1190"/>
        <w:gridCol w:w="1190"/>
        <w:gridCol w:w="1190"/>
        <w:gridCol w:w="526"/>
      </w:tblGrid>
      <w:tr w:rsidR="00716E38" w:rsidRPr="00BC4F7A" w:rsidTr="00F153CD">
        <w:trPr>
          <w:tblHeader/>
        </w:trPr>
        <w:tc>
          <w:tcPr>
            <w:tcW w:w="2735" w:type="pct"/>
            <w:shd w:val="clear" w:color="auto" w:fill="D9D9D9" w:themeFill="background1" w:themeFillShade="D9"/>
          </w:tcPr>
          <w:p w:rsidR="00716E38" w:rsidRPr="00BC4F7A" w:rsidRDefault="00716E38" w:rsidP="00CA057B">
            <w:pPr>
              <w:rPr>
                <w:b/>
                <w:szCs w:val="24"/>
              </w:rPr>
            </w:pPr>
          </w:p>
        </w:tc>
        <w:tc>
          <w:tcPr>
            <w:tcW w:w="664" w:type="pct"/>
            <w:tcBorders>
              <w:right w:val="single" w:sz="12" w:space="0" w:color="auto"/>
            </w:tcBorders>
            <w:shd w:val="clear" w:color="auto" w:fill="D9D9D9" w:themeFill="background1" w:themeFillShade="D9"/>
          </w:tcPr>
          <w:p w:rsidR="00716E38" w:rsidRPr="00BC4F7A" w:rsidRDefault="00F153CD" w:rsidP="00CA057B">
            <w:pPr>
              <w:jc w:val="center"/>
              <w:rPr>
                <w:b/>
                <w:szCs w:val="24"/>
              </w:rPr>
            </w:pPr>
            <w:r>
              <w:rPr>
                <w:b/>
                <w:szCs w:val="24"/>
              </w:rPr>
              <w:t>2020</w:t>
            </w:r>
          </w:p>
        </w:tc>
        <w:tc>
          <w:tcPr>
            <w:tcW w:w="664" w:type="pct"/>
            <w:tcBorders>
              <w:right w:val="single" w:sz="12" w:space="0" w:color="auto"/>
            </w:tcBorders>
            <w:shd w:val="clear" w:color="auto" w:fill="D9D9D9" w:themeFill="background1" w:themeFillShade="D9"/>
          </w:tcPr>
          <w:p w:rsidR="00716E38" w:rsidRPr="00BC4F7A" w:rsidRDefault="00716E38" w:rsidP="00CA057B">
            <w:pPr>
              <w:jc w:val="center"/>
              <w:rPr>
                <w:b/>
                <w:szCs w:val="24"/>
              </w:rPr>
            </w:pPr>
            <w:r w:rsidRPr="00BC4F7A">
              <w:rPr>
                <w:b/>
                <w:szCs w:val="24"/>
              </w:rPr>
              <w:t>2020</w:t>
            </w:r>
          </w:p>
        </w:tc>
        <w:tc>
          <w:tcPr>
            <w:tcW w:w="664" w:type="pct"/>
            <w:tcBorders>
              <w:right w:val="single" w:sz="12" w:space="0" w:color="auto"/>
            </w:tcBorders>
            <w:shd w:val="clear" w:color="auto" w:fill="D9D9D9" w:themeFill="background1" w:themeFillShade="D9"/>
          </w:tcPr>
          <w:p w:rsidR="00716E38" w:rsidRPr="00BC4F7A" w:rsidRDefault="00716E38" w:rsidP="00CA057B">
            <w:pPr>
              <w:jc w:val="center"/>
              <w:rPr>
                <w:b/>
                <w:szCs w:val="24"/>
              </w:rPr>
            </w:pPr>
            <w:r>
              <w:rPr>
                <w:b/>
                <w:szCs w:val="24"/>
              </w:rPr>
              <w:t>202</w:t>
            </w:r>
            <w:r w:rsidR="00F153CD">
              <w:rPr>
                <w:b/>
                <w:szCs w:val="24"/>
              </w:rPr>
              <w:t>2</w:t>
            </w:r>
          </w:p>
        </w:tc>
        <w:tc>
          <w:tcPr>
            <w:tcW w:w="273" w:type="pct"/>
            <w:tcBorders>
              <w:top w:val="nil"/>
              <w:left w:val="single" w:sz="12" w:space="0" w:color="auto"/>
              <w:right w:val="nil"/>
            </w:tcBorders>
            <w:shd w:val="clear" w:color="auto" w:fill="auto"/>
          </w:tcPr>
          <w:p w:rsidR="00716E38" w:rsidRPr="00BC4F7A" w:rsidRDefault="00716E38" w:rsidP="00CA057B">
            <w:pPr>
              <w:jc w:val="center"/>
              <w:rPr>
                <w:b/>
                <w:szCs w:val="24"/>
              </w:rPr>
            </w:pPr>
          </w:p>
        </w:tc>
      </w:tr>
      <w:tr w:rsidR="00F153CD" w:rsidRPr="00BC4F7A" w:rsidTr="00F153CD">
        <w:tc>
          <w:tcPr>
            <w:tcW w:w="2735" w:type="pct"/>
            <w:shd w:val="clear" w:color="auto" w:fill="auto"/>
          </w:tcPr>
          <w:p w:rsidR="00F153CD" w:rsidRPr="00BC4F7A" w:rsidRDefault="00F153CD" w:rsidP="00F153CD">
            <w:pPr>
              <w:rPr>
                <w:szCs w:val="24"/>
              </w:rPr>
            </w:pPr>
            <w:r w:rsidRPr="00BC4F7A">
              <w:rPr>
                <w:szCs w:val="24"/>
              </w:rPr>
              <w:t xml:space="preserve"># </w:t>
            </w:r>
            <w:r>
              <w:rPr>
                <w:szCs w:val="24"/>
              </w:rPr>
              <w:t>Disabled</w:t>
            </w:r>
          </w:p>
        </w:tc>
        <w:tc>
          <w:tcPr>
            <w:tcW w:w="664" w:type="pct"/>
            <w:tcBorders>
              <w:left w:val="single" w:sz="12" w:space="0" w:color="auto"/>
            </w:tcBorders>
            <w:shd w:val="clear" w:color="auto" w:fill="auto"/>
          </w:tcPr>
          <w:p w:rsidR="00F153CD" w:rsidRPr="00DA42D0" w:rsidRDefault="00F153CD" w:rsidP="00F153CD">
            <w:pPr>
              <w:jc w:val="center"/>
            </w:pPr>
            <w:r w:rsidRPr="00DA42D0">
              <w:t>367</w:t>
            </w:r>
          </w:p>
        </w:tc>
        <w:tc>
          <w:tcPr>
            <w:tcW w:w="664" w:type="pct"/>
            <w:tcBorders>
              <w:left w:val="single" w:sz="12" w:space="0" w:color="auto"/>
            </w:tcBorders>
            <w:shd w:val="clear" w:color="auto" w:fill="auto"/>
          </w:tcPr>
          <w:p w:rsidR="00F153CD" w:rsidRPr="00DA42D0" w:rsidRDefault="00F153CD" w:rsidP="00F153CD">
            <w:pPr>
              <w:jc w:val="center"/>
            </w:pPr>
            <w:r>
              <w:t>383</w:t>
            </w:r>
          </w:p>
        </w:tc>
        <w:tc>
          <w:tcPr>
            <w:tcW w:w="664" w:type="pct"/>
            <w:tcBorders>
              <w:left w:val="single" w:sz="12" w:space="0" w:color="auto"/>
            </w:tcBorders>
            <w:shd w:val="clear" w:color="auto" w:fill="auto"/>
          </w:tcPr>
          <w:p w:rsidR="00F153CD" w:rsidRPr="00DA42D0" w:rsidRDefault="0075442B" w:rsidP="00F153CD">
            <w:pPr>
              <w:jc w:val="center"/>
            </w:pPr>
            <w:r>
              <w:t>406</w:t>
            </w:r>
          </w:p>
        </w:tc>
        <w:tc>
          <w:tcPr>
            <w:tcW w:w="273" w:type="pct"/>
            <w:tcBorders>
              <w:left w:val="single" w:sz="12" w:space="0" w:color="auto"/>
            </w:tcBorders>
            <w:shd w:val="clear" w:color="auto" w:fill="auto"/>
          </w:tcPr>
          <w:p w:rsidR="00F153CD" w:rsidRPr="00576026" w:rsidRDefault="00F153CD" w:rsidP="00F153CD">
            <w:pPr>
              <w:jc w:val="center"/>
            </w:pPr>
            <w:r w:rsidRPr="00576026">
              <w:rPr>
                <w:rFonts w:cstheme="minorHAnsi"/>
              </w:rPr>
              <w:t>↑</w:t>
            </w:r>
          </w:p>
        </w:tc>
      </w:tr>
      <w:tr w:rsidR="00F153CD" w:rsidRPr="00BC4F7A" w:rsidTr="00F153CD">
        <w:tc>
          <w:tcPr>
            <w:tcW w:w="2735" w:type="pct"/>
            <w:shd w:val="clear" w:color="auto" w:fill="auto"/>
          </w:tcPr>
          <w:p w:rsidR="00F153CD" w:rsidRPr="00BC4F7A" w:rsidRDefault="00F153CD" w:rsidP="00F153CD">
            <w:pPr>
              <w:rPr>
                <w:szCs w:val="24"/>
              </w:rPr>
            </w:pPr>
            <w:r>
              <w:rPr>
                <w:szCs w:val="24"/>
              </w:rPr>
              <w:t># No Disability</w:t>
            </w:r>
          </w:p>
        </w:tc>
        <w:tc>
          <w:tcPr>
            <w:tcW w:w="664" w:type="pct"/>
            <w:tcBorders>
              <w:left w:val="single" w:sz="12" w:space="0" w:color="auto"/>
            </w:tcBorders>
            <w:shd w:val="clear" w:color="auto" w:fill="auto"/>
          </w:tcPr>
          <w:p w:rsidR="00F153CD" w:rsidRPr="00DA42D0" w:rsidRDefault="00F153CD" w:rsidP="00F153CD">
            <w:pPr>
              <w:jc w:val="center"/>
            </w:pPr>
            <w:r w:rsidRPr="00DA42D0">
              <w:t>6951</w:t>
            </w:r>
          </w:p>
        </w:tc>
        <w:tc>
          <w:tcPr>
            <w:tcW w:w="664" w:type="pct"/>
            <w:tcBorders>
              <w:left w:val="single" w:sz="12" w:space="0" w:color="auto"/>
            </w:tcBorders>
            <w:shd w:val="clear" w:color="auto" w:fill="auto"/>
          </w:tcPr>
          <w:p w:rsidR="00F153CD" w:rsidRPr="00DA42D0" w:rsidRDefault="00F153CD" w:rsidP="00F153CD">
            <w:pPr>
              <w:jc w:val="center"/>
            </w:pPr>
            <w:r>
              <w:t>6642</w:t>
            </w:r>
          </w:p>
        </w:tc>
        <w:tc>
          <w:tcPr>
            <w:tcW w:w="664" w:type="pct"/>
            <w:tcBorders>
              <w:left w:val="single" w:sz="12" w:space="0" w:color="auto"/>
            </w:tcBorders>
            <w:shd w:val="clear" w:color="auto" w:fill="auto"/>
          </w:tcPr>
          <w:p w:rsidR="00F153CD" w:rsidRPr="00DA42D0" w:rsidRDefault="0075442B" w:rsidP="00F153CD">
            <w:pPr>
              <w:jc w:val="center"/>
            </w:pPr>
            <w:r>
              <w:t>6566</w:t>
            </w:r>
          </w:p>
        </w:tc>
        <w:tc>
          <w:tcPr>
            <w:tcW w:w="273" w:type="pct"/>
            <w:tcBorders>
              <w:left w:val="single" w:sz="12" w:space="0" w:color="auto"/>
            </w:tcBorders>
            <w:shd w:val="clear" w:color="auto" w:fill="auto"/>
          </w:tcPr>
          <w:p w:rsidR="00F153CD" w:rsidRPr="00576026" w:rsidRDefault="00F153CD" w:rsidP="00F153CD">
            <w:pPr>
              <w:jc w:val="center"/>
            </w:pPr>
            <w:r w:rsidRPr="00576026">
              <w:t>↓</w:t>
            </w:r>
          </w:p>
        </w:tc>
      </w:tr>
      <w:tr w:rsidR="00F153CD" w:rsidRPr="00BC4F7A" w:rsidTr="00540A6C">
        <w:tc>
          <w:tcPr>
            <w:tcW w:w="2735" w:type="pct"/>
            <w:tcBorders>
              <w:bottom w:val="single" w:sz="4" w:space="0" w:color="auto"/>
            </w:tcBorders>
            <w:shd w:val="clear" w:color="auto" w:fill="auto"/>
          </w:tcPr>
          <w:p w:rsidR="00F153CD" w:rsidRDefault="00F153CD" w:rsidP="00F153CD">
            <w:pPr>
              <w:rPr>
                <w:szCs w:val="24"/>
              </w:rPr>
            </w:pPr>
            <w:r>
              <w:rPr>
                <w:szCs w:val="24"/>
              </w:rPr>
              <w:t>% Disabled</w:t>
            </w:r>
          </w:p>
        </w:tc>
        <w:tc>
          <w:tcPr>
            <w:tcW w:w="664" w:type="pct"/>
            <w:tcBorders>
              <w:left w:val="single" w:sz="12" w:space="0" w:color="auto"/>
              <w:bottom w:val="single" w:sz="12" w:space="0" w:color="auto"/>
            </w:tcBorders>
            <w:shd w:val="clear" w:color="auto" w:fill="auto"/>
          </w:tcPr>
          <w:p w:rsidR="00F153CD" w:rsidRPr="00DA42D0" w:rsidRDefault="00F153CD" w:rsidP="00F153CD">
            <w:pPr>
              <w:jc w:val="center"/>
            </w:pPr>
            <w:r w:rsidRPr="00DA42D0">
              <w:t>5.02</w:t>
            </w:r>
          </w:p>
        </w:tc>
        <w:tc>
          <w:tcPr>
            <w:tcW w:w="664" w:type="pct"/>
            <w:tcBorders>
              <w:left w:val="single" w:sz="12" w:space="0" w:color="auto"/>
              <w:bottom w:val="single" w:sz="12" w:space="0" w:color="auto"/>
            </w:tcBorders>
            <w:shd w:val="clear" w:color="auto" w:fill="auto"/>
          </w:tcPr>
          <w:p w:rsidR="00F153CD" w:rsidRPr="00DA42D0" w:rsidRDefault="00F153CD" w:rsidP="00F153CD">
            <w:pPr>
              <w:jc w:val="center"/>
            </w:pPr>
            <w:r>
              <w:t>5.45</w:t>
            </w:r>
          </w:p>
        </w:tc>
        <w:tc>
          <w:tcPr>
            <w:tcW w:w="664" w:type="pct"/>
            <w:tcBorders>
              <w:left w:val="single" w:sz="12" w:space="0" w:color="auto"/>
              <w:bottom w:val="single" w:sz="12" w:space="0" w:color="auto"/>
            </w:tcBorders>
            <w:shd w:val="clear" w:color="auto" w:fill="auto"/>
          </w:tcPr>
          <w:p w:rsidR="00F153CD" w:rsidRPr="00DA42D0" w:rsidRDefault="0075442B" w:rsidP="00F153CD">
            <w:pPr>
              <w:jc w:val="center"/>
            </w:pPr>
            <w:r>
              <w:t>5.82</w:t>
            </w:r>
          </w:p>
        </w:tc>
        <w:tc>
          <w:tcPr>
            <w:tcW w:w="273" w:type="pct"/>
            <w:tcBorders>
              <w:left w:val="single" w:sz="12" w:space="0" w:color="auto"/>
              <w:bottom w:val="single" w:sz="12" w:space="0" w:color="auto"/>
            </w:tcBorders>
            <w:shd w:val="clear" w:color="auto" w:fill="auto"/>
          </w:tcPr>
          <w:p w:rsidR="00F153CD" w:rsidRPr="00576026" w:rsidRDefault="00F153CD" w:rsidP="00F153CD">
            <w:pPr>
              <w:jc w:val="center"/>
            </w:pPr>
            <w:r w:rsidRPr="00576026">
              <w:rPr>
                <w:rFonts w:cstheme="minorHAnsi"/>
              </w:rPr>
              <w:t>↑</w:t>
            </w:r>
          </w:p>
        </w:tc>
      </w:tr>
      <w:tr w:rsidR="00F153CD" w:rsidRPr="00BC4F7A" w:rsidTr="00540A6C">
        <w:tc>
          <w:tcPr>
            <w:tcW w:w="2735" w:type="pct"/>
            <w:tcBorders>
              <w:top w:val="single" w:sz="12" w:space="0" w:color="auto"/>
            </w:tcBorders>
          </w:tcPr>
          <w:p w:rsidR="00F153CD" w:rsidRPr="00BC4F7A" w:rsidRDefault="00F153CD" w:rsidP="00F153CD">
            <w:pPr>
              <w:pStyle w:val="ListParagraph"/>
              <w:numPr>
                <w:ilvl w:val="0"/>
                <w:numId w:val="10"/>
              </w:numPr>
              <w:ind w:hanging="189"/>
              <w:rPr>
                <w:szCs w:val="24"/>
              </w:rPr>
            </w:pPr>
            <w:r w:rsidRPr="00BC4F7A">
              <w:rPr>
                <w:szCs w:val="24"/>
              </w:rPr>
              <w:t>Mean</w:t>
            </w:r>
          </w:p>
        </w:tc>
        <w:tc>
          <w:tcPr>
            <w:tcW w:w="664" w:type="pct"/>
            <w:tcBorders>
              <w:top w:val="single" w:sz="12" w:space="0" w:color="auto"/>
              <w:left w:val="single" w:sz="12" w:space="0" w:color="auto"/>
              <w:right w:val="single" w:sz="12" w:space="0" w:color="auto"/>
            </w:tcBorders>
            <w:shd w:val="clear" w:color="auto" w:fill="auto"/>
          </w:tcPr>
          <w:p w:rsidR="00F153CD" w:rsidRDefault="00F153CD" w:rsidP="00F153CD">
            <w:pPr>
              <w:jc w:val="center"/>
            </w:pPr>
            <w:r>
              <w:t>15.04</w:t>
            </w:r>
          </w:p>
        </w:tc>
        <w:tc>
          <w:tcPr>
            <w:tcW w:w="664" w:type="pct"/>
            <w:tcBorders>
              <w:top w:val="single" w:sz="12" w:space="0" w:color="auto"/>
              <w:left w:val="single" w:sz="12" w:space="0" w:color="auto"/>
              <w:bottom w:val="single" w:sz="4" w:space="0" w:color="auto"/>
              <w:right w:val="single" w:sz="12" w:space="0" w:color="auto"/>
            </w:tcBorders>
            <w:shd w:val="clear" w:color="auto" w:fill="auto"/>
            <w:vAlign w:val="bottom"/>
          </w:tcPr>
          <w:p w:rsidR="00F153CD" w:rsidRDefault="00F153CD" w:rsidP="00F153CD">
            <w:pPr>
              <w:jc w:val="center"/>
            </w:pPr>
            <w:r>
              <w:rPr>
                <w:rFonts w:ascii="Calibri" w:hAnsi="Calibri" w:cs="Calibri"/>
                <w:color w:val="000000"/>
                <w:sz w:val="22"/>
              </w:rPr>
              <w:t xml:space="preserve">14.77 </w:t>
            </w:r>
          </w:p>
        </w:tc>
        <w:tc>
          <w:tcPr>
            <w:tcW w:w="664" w:type="pct"/>
            <w:tcBorders>
              <w:top w:val="single" w:sz="8" w:space="0" w:color="auto"/>
              <w:left w:val="single" w:sz="12" w:space="0" w:color="auto"/>
              <w:bottom w:val="single" w:sz="4" w:space="0" w:color="auto"/>
              <w:right w:val="single" w:sz="4" w:space="0" w:color="auto"/>
            </w:tcBorders>
            <w:shd w:val="clear" w:color="auto" w:fill="auto"/>
            <w:vAlign w:val="bottom"/>
          </w:tcPr>
          <w:p w:rsidR="00F153CD" w:rsidRDefault="0075442B" w:rsidP="00F153CD">
            <w:pPr>
              <w:jc w:val="center"/>
            </w:pPr>
            <w:r>
              <w:t>14.47</w:t>
            </w:r>
          </w:p>
        </w:tc>
        <w:tc>
          <w:tcPr>
            <w:tcW w:w="273" w:type="pct"/>
            <w:tcBorders>
              <w:top w:val="single" w:sz="12" w:space="0" w:color="auto"/>
              <w:left w:val="single" w:sz="12" w:space="0" w:color="auto"/>
            </w:tcBorders>
            <w:shd w:val="clear" w:color="auto" w:fill="auto"/>
          </w:tcPr>
          <w:p w:rsidR="00F153CD" w:rsidRPr="00576026" w:rsidRDefault="00F153CD" w:rsidP="00F153CD">
            <w:pPr>
              <w:jc w:val="center"/>
            </w:pPr>
            <w:r w:rsidRPr="007F55B5">
              <w:rPr>
                <w:color w:val="00B050"/>
              </w:rPr>
              <w:t>↓</w:t>
            </w:r>
          </w:p>
        </w:tc>
      </w:tr>
      <w:tr w:rsidR="00F153CD" w:rsidRPr="00BC4F7A" w:rsidTr="00540A6C">
        <w:tc>
          <w:tcPr>
            <w:tcW w:w="2735" w:type="pct"/>
            <w:tcBorders>
              <w:bottom w:val="single" w:sz="12" w:space="0" w:color="auto"/>
            </w:tcBorders>
          </w:tcPr>
          <w:p w:rsidR="00F153CD" w:rsidRPr="00BC4F7A" w:rsidRDefault="00F153CD" w:rsidP="00F153CD">
            <w:pPr>
              <w:pStyle w:val="ListParagraph"/>
              <w:numPr>
                <w:ilvl w:val="0"/>
                <w:numId w:val="10"/>
              </w:numPr>
              <w:ind w:hanging="189"/>
              <w:rPr>
                <w:szCs w:val="24"/>
              </w:rPr>
            </w:pPr>
            <w:r w:rsidRPr="00BC4F7A">
              <w:rPr>
                <w:szCs w:val="24"/>
              </w:rPr>
              <w:t>Median</w:t>
            </w:r>
          </w:p>
        </w:tc>
        <w:tc>
          <w:tcPr>
            <w:tcW w:w="664" w:type="pct"/>
            <w:tcBorders>
              <w:left w:val="single" w:sz="12" w:space="0" w:color="auto"/>
              <w:bottom w:val="single" w:sz="12" w:space="0" w:color="auto"/>
              <w:right w:val="single" w:sz="12" w:space="0" w:color="auto"/>
            </w:tcBorders>
            <w:shd w:val="clear" w:color="auto" w:fill="auto"/>
          </w:tcPr>
          <w:p w:rsidR="00F153CD" w:rsidRDefault="00F153CD" w:rsidP="00F153CD">
            <w:pPr>
              <w:jc w:val="center"/>
            </w:pPr>
            <w:r>
              <w:t>9.73</w:t>
            </w:r>
          </w:p>
        </w:tc>
        <w:tc>
          <w:tcPr>
            <w:tcW w:w="664" w:type="pct"/>
            <w:tcBorders>
              <w:top w:val="single" w:sz="4" w:space="0" w:color="auto"/>
              <w:left w:val="single" w:sz="12" w:space="0" w:color="auto"/>
              <w:bottom w:val="single" w:sz="12" w:space="0" w:color="auto"/>
              <w:right w:val="single" w:sz="12" w:space="0" w:color="auto"/>
            </w:tcBorders>
            <w:shd w:val="clear" w:color="auto" w:fill="auto"/>
            <w:vAlign w:val="bottom"/>
          </w:tcPr>
          <w:p w:rsidR="00F153CD" w:rsidRDefault="00F153CD" w:rsidP="00F153CD">
            <w:pPr>
              <w:jc w:val="center"/>
            </w:pPr>
            <w:r>
              <w:rPr>
                <w:rFonts w:ascii="Calibri" w:hAnsi="Calibri" w:cs="Calibri"/>
                <w:color w:val="000000"/>
                <w:sz w:val="22"/>
              </w:rPr>
              <w:t xml:space="preserve">7.02 </w:t>
            </w:r>
          </w:p>
        </w:tc>
        <w:tc>
          <w:tcPr>
            <w:tcW w:w="664" w:type="pct"/>
            <w:tcBorders>
              <w:top w:val="nil"/>
              <w:left w:val="single" w:sz="12" w:space="0" w:color="auto"/>
              <w:bottom w:val="nil"/>
              <w:right w:val="single" w:sz="4" w:space="0" w:color="auto"/>
            </w:tcBorders>
            <w:shd w:val="clear" w:color="auto" w:fill="auto"/>
            <w:vAlign w:val="bottom"/>
          </w:tcPr>
          <w:p w:rsidR="00F153CD" w:rsidRDefault="0075442B" w:rsidP="00F153CD">
            <w:pPr>
              <w:jc w:val="center"/>
            </w:pPr>
            <w:r>
              <w:t>7.62</w:t>
            </w:r>
          </w:p>
        </w:tc>
        <w:tc>
          <w:tcPr>
            <w:tcW w:w="273" w:type="pct"/>
            <w:tcBorders>
              <w:left w:val="single" w:sz="12" w:space="0" w:color="auto"/>
              <w:bottom w:val="single" w:sz="12" w:space="0" w:color="auto"/>
            </w:tcBorders>
            <w:shd w:val="clear" w:color="auto" w:fill="auto"/>
          </w:tcPr>
          <w:p w:rsidR="00F153CD" w:rsidRPr="00576026" w:rsidRDefault="00940935" w:rsidP="00F153CD">
            <w:pPr>
              <w:jc w:val="center"/>
            </w:pPr>
            <w:r w:rsidRPr="007F55B5">
              <w:rPr>
                <w:rFonts w:cstheme="minorHAnsi"/>
                <w:color w:val="FF0000"/>
              </w:rPr>
              <w:t>↑</w:t>
            </w:r>
          </w:p>
        </w:tc>
      </w:tr>
      <w:tr w:rsidR="00F153CD" w:rsidRPr="00BC4F7A" w:rsidTr="00540A6C">
        <w:tc>
          <w:tcPr>
            <w:tcW w:w="2735" w:type="pct"/>
            <w:tcBorders>
              <w:top w:val="single" w:sz="12" w:space="0" w:color="auto"/>
            </w:tcBorders>
          </w:tcPr>
          <w:p w:rsidR="00F153CD" w:rsidRPr="00BC4F7A" w:rsidRDefault="00F153CD" w:rsidP="00F153CD">
            <w:pPr>
              <w:pStyle w:val="ListParagraph"/>
              <w:numPr>
                <w:ilvl w:val="0"/>
                <w:numId w:val="10"/>
              </w:numPr>
              <w:ind w:hanging="189"/>
              <w:rPr>
                <w:szCs w:val="24"/>
              </w:rPr>
            </w:pPr>
            <w:r w:rsidRPr="00BC4F7A">
              <w:rPr>
                <w:szCs w:val="24"/>
              </w:rPr>
              <w:t>Mean Bonus</w:t>
            </w:r>
          </w:p>
        </w:tc>
        <w:tc>
          <w:tcPr>
            <w:tcW w:w="664" w:type="pct"/>
            <w:tcBorders>
              <w:top w:val="single" w:sz="12" w:space="0" w:color="auto"/>
              <w:left w:val="single" w:sz="12" w:space="0" w:color="auto"/>
            </w:tcBorders>
            <w:shd w:val="clear" w:color="auto" w:fill="auto"/>
          </w:tcPr>
          <w:p w:rsidR="00F153CD" w:rsidRDefault="00F153CD" w:rsidP="00F153CD">
            <w:pPr>
              <w:jc w:val="center"/>
            </w:pPr>
            <w:r>
              <w:t>89.76</w:t>
            </w:r>
          </w:p>
        </w:tc>
        <w:tc>
          <w:tcPr>
            <w:tcW w:w="664" w:type="pct"/>
            <w:tcBorders>
              <w:top w:val="single" w:sz="12" w:space="0" w:color="auto"/>
              <w:left w:val="single" w:sz="12" w:space="0" w:color="auto"/>
            </w:tcBorders>
            <w:shd w:val="clear" w:color="auto" w:fill="auto"/>
          </w:tcPr>
          <w:p w:rsidR="00F153CD" w:rsidRDefault="00F153CD" w:rsidP="00F153CD">
            <w:pPr>
              <w:jc w:val="center"/>
            </w:pPr>
            <w:r>
              <w:t>0.00</w:t>
            </w:r>
          </w:p>
        </w:tc>
        <w:tc>
          <w:tcPr>
            <w:tcW w:w="664" w:type="pct"/>
            <w:tcBorders>
              <w:top w:val="single" w:sz="12" w:space="0" w:color="auto"/>
              <w:left w:val="single" w:sz="12" w:space="0" w:color="auto"/>
            </w:tcBorders>
            <w:shd w:val="clear" w:color="auto" w:fill="auto"/>
          </w:tcPr>
          <w:p w:rsidR="00F153CD" w:rsidRDefault="0075442B" w:rsidP="00F153CD">
            <w:pPr>
              <w:jc w:val="center"/>
            </w:pPr>
            <w:r>
              <w:t>0.00</w:t>
            </w:r>
          </w:p>
        </w:tc>
        <w:tc>
          <w:tcPr>
            <w:tcW w:w="273" w:type="pct"/>
            <w:tcBorders>
              <w:top w:val="single" w:sz="12" w:space="0" w:color="auto"/>
              <w:left w:val="single" w:sz="12" w:space="0" w:color="auto"/>
            </w:tcBorders>
            <w:shd w:val="clear" w:color="auto" w:fill="auto"/>
          </w:tcPr>
          <w:p w:rsidR="00F153CD" w:rsidRPr="00576026" w:rsidRDefault="00940935" w:rsidP="00F153CD">
            <w:pPr>
              <w:jc w:val="center"/>
            </w:pPr>
            <w:r>
              <w:t>-</w:t>
            </w:r>
          </w:p>
        </w:tc>
      </w:tr>
      <w:tr w:rsidR="00F153CD" w:rsidRPr="00BC4F7A" w:rsidTr="00F153CD">
        <w:tc>
          <w:tcPr>
            <w:tcW w:w="2735" w:type="pct"/>
            <w:tcBorders>
              <w:bottom w:val="single" w:sz="12" w:space="0" w:color="auto"/>
            </w:tcBorders>
          </w:tcPr>
          <w:p w:rsidR="00F153CD" w:rsidRPr="00BC4F7A" w:rsidRDefault="00F153CD" w:rsidP="00F153CD">
            <w:pPr>
              <w:pStyle w:val="ListParagraph"/>
              <w:numPr>
                <w:ilvl w:val="0"/>
                <w:numId w:val="10"/>
              </w:numPr>
              <w:ind w:hanging="189"/>
              <w:rPr>
                <w:szCs w:val="24"/>
              </w:rPr>
            </w:pPr>
            <w:r w:rsidRPr="00BC4F7A">
              <w:rPr>
                <w:szCs w:val="24"/>
              </w:rPr>
              <w:t>Median Bonus</w:t>
            </w:r>
          </w:p>
        </w:tc>
        <w:tc>
          <w:tcPr>
            <w:tcW w:w="664" w:type="pct"/>
            <w:tcBorders>
              <w:left w:val="single" w:sz="12" w:space="0" w:color="auto"/>
              <w:bottom w:val="single" w:sz="12" w:space="0" w:color="auto"/>
            </w:tcBorders>
            <w:shd w:val="clear" w:color="auto" w:fill="auto"/>
          </w:tcPr>
          <w:p w:rsidR="00F153CD" w:rsidRDefault="00F153CD" w:rsidP="00F153CD">
            <w:pPr>
              <w:jc w:val="center"/>
            </w:pPr>
            <w:r>
              <w:t>0.00</w:t>
            </w:r>
          </w:p>
        </w:tc>
        <w:tc>
          <w:tcPr>
            <w:tcW w:w="664" w:type="pct"/>
            <w:tcBorders>
              <w:left w:val="single" w:sz="12" w:space="0" w:color="auto"/>
              <w:bottom w:val="single" w:sz="12" w:space="0" w:color="auto"/>
            </w:tcBorders>
            <w:shd w:val="clear" w:color="auto" w:fill="auto"/>
          </w:tcPr>
          <w:p w:rsidR="00F153CD" w:rsidRDefault="00F153CD" w:rsidP="00F153CD">
            <w:pPr>
              <w:jc w:val="center"/>
            </w:pPr>
            <w:r>
              <w:t>0.00</w:t>
            </w:r>
          </w:p>
        </w:tc>
        <w:tc>
          <w:tcPr>
            <w:tcW w:w="664" w:type="pct"/>
            <w:tcBorders>
              <w:left w:val="single" w:sz="12" w:space="0" w:color="auto"/>
              <w:bottom w:val="single" w:sz="12" w:space="0" w:color="auto"/>
            </w:tcBorders>
            <w:shd w:val="clear" w:color="auto" w:fill="auto"/>
          </w:tcPr>
          <w:p w:rsidR="00F153CD" w:rsidRDefault="0075442B" w:rsidP="00F153CD">
            <w:pPr>
              <w:jc w:val="center"/>
            </w:pPr>
            <w:r>
              <w:t>0.00</w:t>
            </w:r>
          </w:p>
        </w:tc>
        <w:tc>
          <w:tcPr>
            <w:tcW w:w="273" w:type="pct"/>
            <w:tcBorders>
              <w:left w:val="single" w:sz="12" w:space="0" w:color="auto"/>
              <w:bottom w:val="single" w:sz="12"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tcBorders>
              <w:top w:val="single" w:sz="12" w:space="0" w:color="auto"/>
            </w:tcBorders>
          </w:tcPr>
          <w:p w:rsidR="00F153CD" w:rsidRPr="00BC4F7A" w:rsidRDefault="00F153CD" w:rsidP="00F153CD">
            <w:pPr>
              <w:rPr>
                <w:szCs w:val="24"/>
              </w:rPr>
            </w:pPr>
            <w:r>
              <w:rPr>
                <w:szCs w:val="24"/>
              </w:rPr>
              <w:t>% Disabled</w:t>
            </w:r>
            <w:r w:rsidRPr="00BC4F7A">
              <w:rPr>
                <w:szCs w:val="24"/>
              </w:rPr>
              <w:t xml:space="preserve"> </w:t>
            </w:r>
            <w:r w:rsidR="0049360E">
              <w:rPr>
                <w:szCs w:val="24"/>
              </w:rPr>
              <w:t>S</w:t>
            </w:r>
            <w:r w:rsidRPr="00BC4F7A">
              <w:rPr>
                <w:szCs w:val="24"/>
              </w:rPr>
              <w:t xml:space="preserve">taff in </w:t>
            </w:r>
            <w:r w:rsidR="0049360E">
              <w:rPr>
                <w:szCs w:val="24"/>
              </w:rPr>
              <w:t>R</w:t>
            </w:r>
            <w:r w:rsidRPr="00BC4F7A">
              <w:rPr>
                <w:szCs w:val="24"/>
              </w:rPr>
              <w:t xml:space="preserve">eceipt of </w:t>
            </w:r>
            <w:r w:rsidR="0049360E">
              <w:rPr>
                <w:szCs w:val="24"/>
              </w:rPr>
              <w:t>B</w:t>
            </w:r>
            <w:r w:rsidRPr="00BC4F7A">
              <w:rPr>
                <w:szCs w:val="24"/>
              </w:rPr>
              <w:t xml:space="preserve">onus </w:t>
            </w:r>
            <w:r w:rsidR="0049360E">
              <w:rPr>
                <w:szCs w:val="24"/>
              </w:rPr>
              <w:t>P</w:t>
            </w:r>
            <w:r w:rsidRPr="00BC4F7A">
              <w:rPr>
                <w:szCs w:val="24"/>
              </w:rPr>
              <w:t>ay</w:t>
            </w:r>
          </w:p>
        </w:tc>
        <w:tc>
          <w:tcPr>
            <w:tcW w:w="664" w:type="pct"/>
            <w:tcBorders>
              <w:top w:val="single" w:sz="12" w:space="0" w:color="auto"/>
              <w:left w:val="single" w:sz="12" w:space="0" w:color="auto"/>
            </w:tcBorders>
            <w:shd w:val="clear" w:color="auto" w:fill="auto"/>
          </w:tcPr>
          <w:p w:rsidR="00F153CD" w:rsidRDefault="00F153CD" w:rsidP="00F153CD">
            <w:pPr>
              <w:jc w:val="center"/>
            </w:pPr>
            <w:r>
              <w:t>1.25</w:t>
            </w:r>
          </w:p>
        </w:tc>
        <w:tc>
          <w:tcPr>
            <w:tcW w:w="664" w:type="pct"/>
            <w:tcBorders>
              <w:top w:val="single" w:sz="12" w:space="0" w:color="auto"/>
              <w:left w:val="single" w:sz="12" w:space="0" w:color="auto"/>
            </w:tcBorders>
            <w:shd w:val="clear" w:color="auto" w:fill="auto"/>
          </w:tcPr>
          <w:p w:rsidR="00F153CD" w:rsidRDefault="00F153CD" w:rsidP="00F153CD">
            <w:pPr>
              <w:jc w:val="center"/>
            </w:pPr>
            <w:r>
              <w:t>0.00</w:t>
            </w:r>
          </w:p>
        </w:tc>
        <w:tc>
          <w:tcPr>
            <w:tcW w:w="664" w:type="pct"/>
            <w:tcBorders>
              <w:top w:val="single" w:sz="12" w:space="0" w:color="auto"/>
              <w:left w:val="single" w:sz="12" w:space="0" w:color="auto"/>
            </w:tcBorders>
            <w:shd w:val="clear" w:color="auto" w:fill="auto"/>
          </w:tcPr>
          <w:p w:rsidR="00F153CD" w:rsidRDefault="0075442B" w:rsidP="00F153CD">
            <w:pPr>
              <w:jc w:val="center"/>
            </w:pPr>
            <w:r>
              <w:t>0.00</w:t>
            </w:r>
          </w:p>
        </w:tc>
        <w:tc>
          <w:tcPr>
            <w:tcW w:w="273" w:type="pct"/>
            <w:tcBorders>
              <w:top w:val="single" w:sz="12" w:space="0" w:color="auto"/>
              <w:left w:val="single" w:sz="12" w:space="0" w:color="auto"/>
            </w:tcBorders>
            <w:shd w:val="clear" w:color="auto" w:fill="auto"/>
          </w:tcPr>
          <w:p w:rsidR="00F153CD" w:rsidRPr="00576026" w:rsidRDefault="00940935" w:rsidP="00F153CD">
            <w:pPr>
              <w:jc w:val="center"/>
            </w:pPr>
            <w:r>
              <w:t>-</w:t>
            </w:r>
          </w:p>
        </w:tc>
      </w:tr>
      <w:tr w:rsidR="00F153CD" w:rsidRPr="00BC4F7A" w:rsidTr="00F153CD">
        <w:tc>
          <w:tcPr>
            <w:tcW w:w="2735" w:type="pct"/>
          </w:tcPr>
          <w:p w:rsidR="00F153CD" w:rsidRPr="00BC4F7A" w:rsidRDefault="00F153CD" w:rsidP="00F153CD">
            <w:pPr>
              <w:rPr>
                <w:szCs w:val="24"/>
              </w:rPr>
            </w:pPr>
            <w:r>
              <w:rPr>
                <w:szCs w:val="24"/>
              </w:rPr>
              <w:t>% Non-Disabled</w:t>
            </w:r>
            <w:r w:rsidRPr="00BC4F7A">
              <w:rPr>
                <w:szCs w:val="24"/>
              </w:rPr>
              <w:t xml:space="preserve"> </w:t>
            </w:r>
            <w:r w:rsidR="0049360E">
              <w:rPr>
                <w:szCs w:val="24"/>
              </w:rPr>
              <w:t>S</w:t>
            </w:r>
            <w:r w:rsidRPr="00BC4F7A">
              <w:rPr>
                <w:szCs w:val="24"/>
              </w:rPr>
              <w:t xml:space="preserve">taff in </w:t>
            </w:r>
            <w:r w:rsidR="0049360E">
              <w:rPr>
                <w:szCs w:val="24"/>
              </w:rPr>
              <w:t>R</w:t>
            </w:r>
            <w:r w:rsidRPr="00BC4F7A">
              <w:rPr>
                <w:szCs w:val="24"/>
              </w:rPr>
              <w:t xml:space="preserve">eceipt of </w:t>
            </w:r>
            <w:r w:rsidR="0049360E">
              <w:rPr>
                <w:szCs w:val="24"/>
              </w:rPr>
              <w:t>B</w:t>
            </w:r>
            <w:r w:rsidRPr="00BC4F7A">
              <w:rPr>
                <w:szCs w:val="24"/>
              </w:rPr>
              <w:t xml:space="preserve">onus </w:t>
            </w:r>
            <w:r w:rsidR="0049360E">
              <w:rPr>
                <w:szCs w:val="24"/>
              </w:rPr>
              <w:t>P</w:t>
            </w:r>
            <w:r w:rsidRPr="00BC4F7A">
              <w:rPr>
                <w:szCs w:val="24"/>
              </w:rPr>
              <w:t>ay</w:t>
            </w:r>
          </w:p>
        </w:tc>
        <w:tc>
          <w:tcPr>
            <w:tcW w:w="664" w:type="pct"/>
            <w:tcBorders>
              <w:left w:val="single" w:sz="12" w:space="0" w:color="auto"/>
            </w:tcBorders>
            <w:shd w:val="clear" w:color="auto" w:fill="auto"/>
          </w:tcPr>
          <w:p w:rsidR="00F153CD" w:rsidRDefault="00F153CD" w:rsidP="00F153CD">
            <w:pPr>
              <w:jc w:val="center"/>
            </w:pPr>
            <w:r>
              <w:t>1.60</w:t>
            </w:r>
          </w:p>
        </w:tc>
        <w:tc>
          <w:tcPr>
            <w:tcW w:w="664" w:type="pct"/>
            <w:tcBorders>
              <w:left w:val="single" w:sz="12" w:space="0" w:color="auto"/>
            </w:tcBorders>
            <w:shd w:val="clear" w:color="auto" w:fill="auto"/>
          </w:tcPr>
          <w:p w:rsidR="00F153CD" w:rsidRDefault="00F153CD" w:rsidP="00F153CD">
            <w:pPr>
              <w:jc w:val="center"/>
            </w:pPr>
            <w:r>
              <w:t>0.75</w:t>
            </w:r>
          </w:p>
        </w:tc>
        <w:tc>
          <w:tcPr>
            <w:tcW w:w="664" w:type="pct"/>
            <w:tcBorders>
              <w:left w:val="single" w:sz="12" w:space="0" w:color="auto"/>
            </w:tcBorders>
            <w:shd w:val="clear" w:color="auto" w:fill="auto"/>
          </w:tcPr>
          <w:p w:rsidR="00F153CD" w:rsidRDefault="0075442B" w:rsidP="00F153CD">
            <w:pPr>
              <w:jc w:val="center"/>
            </w:pPr>
            <w:r>
              <w:t>0.75</w:t>
            </w:r>
          </w:p>
        </w:tc>
        <w:tc>
          <w:tcPr>
            <w:tcW w:w="273" w:type="pct"/>
            <w:tcBorders>
              <w:left w:val="single" w:sz="12" w:space="0" w:color="auto"/>
            </w:tcBorders>
            <w:shd w:val="clear" w:color="auto" w:fill="auto"/>
          </w:tcPr>
          <w:p w:rsidR="00F153CD" w:rsidRPr="00576026" w:rsidRDefault="00940935" w:rsidP="00F153CD">
            <w:pPr>
              <w:jc w:val="center"/>
            </w:pPr>
            <w:r>
              <w:rPr>
                <w:rFonts w:cstheme="minorHAnsi"/>
              </w:rPr>
              <w:t>↔</w:t>
            </w:r>
          </w:p>
        </w:tc>
      </w:tr>
      <w:tr w:rsidR="00F153CD" w:rsidRPr="00BC4F7A" w:rsidTr="00F153CD">
        <w:tc>
          <w:tcPr>
            <w:tcW w:w="2735" w:type="pct"/>
          </w:tcPr>
          <w:p w:rsidR="00F153CD" w:rsidRPr="00BC4F7A" w:rsidRDefault="00F153CD" w:rsidP="00F153CD">
            <w:pPr>
              <w:rPr>
                <w:szCs w:val="24"/>
              </w:rPr>
            </w:pPr>
            <w:r w:rsidRPr="00BC4F7A">
              <w:rPr>
                <w:szCs w:val="24"/>
              </w:rPr>
              <w:t xml:space="preserve">% </w:t>
            </w:r>
            <w:r w:rsidR="0049360E">
              <w:rPr>
                <w:szCs w:val="24"/>
              </w:rPr>
              <w:t>B</w:t>
            </w:r>
            <w:r w:rsidRPr="00BC4F7A">
              <w:rPr>
                <w:szCs w:val="24"/>
              </w:rPr>
              <w:t>on</w:t>
            </w:r>
            <w:r>
              <w:rPr>
                <w:szCs w:val="24"/>
              </w:rPr>
              <w:t xml:space="preserve">us </w:t>
            </w:r>
            <w:r w:rsidR="0049360E">
              <w:rPr>
                <w:szCs w:val="24"/>
              </w:rPr>
              <w:t>P</w:t>
            </w:r>
            <w:r>
              <w:rPr>
                <w:szCs w:val="24"/>
              </w:rPr>
              <w:t xml:space="preserve">ay </w:t>
            </w:r>
            <w:r w:rsidR="0049360E">
              <w:rPr>
                <w:szCs w:val="24"/>
              </w:rPr>
              <w:t>R</w:t>
            </w:r>
            <w:r>
              <w:rPr>
                <w:szCs w:val="24"/>
              </w:rPr>
              <w:t xml:space="preserve">ecipients </w:t>
            </w:r>
            <w:r w:rsidR="0049360E">
              <w:rPr>
                <w:szCs w:val="24"/>
              </w:rPr>
              <w:t>W</w:t>
            </w:r>
            <w:r>
              <w:rPr>
                <w:szCs w:val="24"/>
              </w:rPr>
              <w:t xml:space="preserve">ho </w:t>
            </w:r>
            <w:r w:rsidR="0049360E">
              <w:rPr>
                <w:szCs w:val="24"/>
              </w:rPr>
              <w:t>A</w:t>
            </w:r>
            <w:r>
              <w:rPr>
                <w:szCs w:val="24"/>
              </w:rPr>
              <w:t>re Disabled</w:t>
            </w:r>
          </w:p>
        </w:tc>
        <w:tc>
          <w:tcPr>
            <w:tcW w:w="664" w:type="pct"/>
            <w:tcBorders>
              <w:left w:val="single" w:sz="12" w:space="0" w:color="auto"/>
            </w:tcBorders>
            <w:shd w:val="clear" w:color="auto" w:fill="auto"/>
          </w:tcPr>
          <w:p w:rsidR="00F153CD" w:rsidRDefault="00F153CD" w:rsidP="00F153CD">
            <w:pPr>
              <w:jc w:val="center"/>
            </w:pPr>
            <w:r>
              <w:t>3.79</w:t>
            </w:r>
          </w:p>
        </w:tc>
        <w:tc>
          <w:tcPr>
            <w:tcW w:w="664" w:type="pct"/>
            <w:tcBorders>
              <w:left w:val="single" w:sz="12" w:space="0" w:color="auto"/>
            </w:tcBorders>
            <w:shd w:val="clear" w:color="auto" w:fill="auto"/>
          </w:tcPr>
          <w:p w:rsidR="00F153CD" w:rsidRDefault="00F153CD" w:rsidP="00F153CD">
            <w:pPr>
              <w:jc w:val="center"/>
            </w:pPr>
            <w:r>
              <w:t>0.00</w:t>
            </w:r>
          </w:p>
        </w:tc>
        <w:tc>
          <w:tcPr>
            <w:tcW w:w="664" w:type="pct"/>
            <w:tcBorders>
              <w:left w:val="single" w:sz="12" w:space="0" w:color="auto"/>
            </w:tcBorders>
            <w:shd w:val="clear" w:color="auto" w:fill="auto"/>
          </w:tcPr>
          <w:p w:rsidR="00F153CD" w:rsidRDefault="0075442B" w:rsidP="00F153CD">
            <w:pPr>
              <w:jc w:val="center"/>
            </w:pPr>
            <w:r>
              <w:t>0.00</w:t>
            </w:r>
          </w:p>
        </w:tc>
        <w:tc>
          <w:tcPr>
            <w:tcW w:w="273" w:type="pct"/>
            <w:tcBorders>
              <w:left w:val="single" w:sz="12" w:space="0" w:color="auto"/>
            </w:tcBorders>
            <w:shd w:val="clear" w:color="auto" w:fill="auto"/>
          </w:tcPr>
          <w:p w:rsidR="00F153CD" w:rsidRPr="00576026" w:rsidRDefault="00940935" w:rsidP="00F153CD">
            <w:pPr>
              <w:jc w:val="center"/>
            </w:pPr>
            <w:r>
              <w:t>-</w:t>
            </w:r>
          </w:p>
        </w:tc>
      </w:tr>
      <w:tr w:rsidR="00F153CD" w:rsidRPr="00BC4F7A" w:rsidTr="00F153CD">
        <w:tc>
          <w:tcPr>
            <w:tcW w:w="2735" w:type="pct"/>
          </w:tcPr>
          <w:p w:rsidR="00F153CD" w:rsidRPr="00BC4F7A" w:rsidRDefault="00F153CD" w:rsidP="00F153CD">
            <w:pPr>
              <w:rPr>
                <w:szCs w:val="24"/>
              </w:rPr>
            </w:pPr>
            <w:r w:rsidRPr="00BC4F7A">
              <w:rPr>
                <w:szCs w:val="24"/>
              </w:rPr>
              <w:t xml:space="preserve">% </w:t>
            </w:r>
            <w:r w:rsidR="0049360E">
              <w:rPr>
                <w:szCs w:val="24"/>
              </w:rPr>
              <w:t>B</w:t>
            </w:r>
            <w:r>
              <w:rPr>
                <w:szCs w:val="24"/>
              </w:rPr>
              <w:t xml:space="preserve">onus </w:t>
            </w:r>
            <w:r w:rsidR="0049360E">
              <w:rPr>
                <w:szCs w:val="24"/>
              </w:rPr>
              <w:t>P</w:t>
            </w:r>
            <w:r>
              <w:rPr>
                <w:szCs w:val="24"/>
              </w:rPr>
              <w:t xml:space="preserve">ay </w:t>
            </w:r>
            <w:r w:rsidR="0049360E">
              <w:rPr>
                <w:szCs w:val="24"/>
              </w:rPr>
              <w:t>R</w:t>
            </w:r>
            <w:r>
              <w:rPr>
                <w:szCs w:val="24"/>
              </w:rPr>
              <w:t xml:space="preserve">ecipients </w:t>
            </w:r>
            <w:proofErr w:type="gramStart"/>
            <w:r w:rsidR="0049360E">
              <w:rPr>
                <w:szCs w:val="24"/>
              </w:rPr>
              <w:t>W</w:t>
            </w:r>
            <w:r>
              <w:rPr>
                <w:szCs w:val="24"/>
              </w:rPr>
              <w:t>ith</w:t>
            </w:r>
            <w:proofErr w:type="gramEnd"/>
            <w:r>
              <w:rPr>
                <w:szCs w:val="24"/>
              </w:rPr>
              <w:t xml:space="preserve"> No Disability</w:t>
            </w:r>
          </w:p>
        </w:tc>
        <w:tc>
          <w:tcPr>
            <w:tcW w:w="664" w:type="pct"/>
            <w:tcBorders>
              <w:left w:val="single" w:sz="12" w:space="0" w:color="auto"/>
            </w:tcBorders>
            <w:shd w:val="clear" w:color="auto" w:fill="auto"/>
          </w:tcPr>
          <w:p w:rsidR="00F153CD" w:rsidRDefault="00F153CD" w:rsidP="00F153CD">
            <w:pPr>
              <w:jc w:val="center"/>
            </w:pPr>
            <w:r>
              <w:t>96.21</w:t>
            </w:r>
          </w:p>
        </w:tc>
        <w:tc>
          <w:tcPr>
            <w:tcW w:w="664" w:type="pct"/>
            <w:tcBorders>
              <w:left w:val="single" w:sz="12" w:space="0" w:color="auto"/>
            </w:tcBorders>
            <w:shd w:val="clear" w:color="auto" w:fill="auto"/>
          </w:tcPr>
          <w:p w:rsidR="00F153CD" w:rsidRDefault="00F153CD" w:rsidP="00F153CD">
            <w:pPr>
              <w:jc w:val="center"/>
            </w:pPr>
            <w:r>
              <w:t>100</w:t>
            </w:r>
          </w:p>
        </w:tc>
        <w:tc>
          <w:tcPr>
            <w:tcW w:w="664" w:type="pct"/>
            <w:tcBorders>
              <w:left w:val="single" w:sz="12" w:space="0" w:color="auto"/>
            </w:tcBorders>
            <w:shd w:val="clear" w:color="auto" w:fill="auto"/>
          </w:tcPr>
          <w:p w:rsidR="00F153CD" w:rsidRDefault="0075442B" w:rsidP="00F153CD">
            <w:pPr>
              <w:jc w:val="center"/>
            </w:pPr>
            <w:r>
              <w:t>100</w:t>
            </w:r>
          </w:p>
        </w:tc>
        <w:tc>
          <w:tcPr>
            <w:tcW w:w="273" w:type="pct"/>
            <w:tcBorders>
              <w:left w:val="single" w:sz="12" w:space="0" w:color="auto"/>
            </w:tcBorders>
            <w:shd w:val="clear" w:color="auto" w:fill="auto"/>
          </w:tcPr>
          <w:p w:rsidR="00F153CD" w:rsidRPr="00576026" w:rsidRDefault="00940935" w:rsidP="00F153CD">
            <w:pPr>
              <w:jc w:val="center"/>
            </w:pPr>
            <w:r>
              <w:rPr>
                <w:rFonts w:cstheme="minorHAnsi"/>
              </w:rPr>
              <w:t>↔</w:t>
            </w:r>
          </w:p>
        </w:tc>
      </w:tr>
      <w:tr w:rsidR="00F153CD" w:rsidRPr="00BC4F7A" w:rsidTr="00F153CD">
        <w:tc>
          <w:tcPr>
            <w:tcW w:w="2735" w:type="pct"/>
            <w:tcBorders>
              <w:top w:val="single" w:sz="12" w:space="0" w:color="auto"/>
            </w:tcBorders>
          </w:tcPr>
          <w:p w:rsidR="00F153CD" w:rsidRPr="00BC4F7A" w:rsidRDefault="00F153CD" w:rsidP="00F153CD">
            <w:pPr>
              <w:rPr>
                <w:szCs w:val="24"/>
              </w:rPr>
            </w:pPr>
            <w:r>
              <w:rPr>
                <w:szCs w:val="24"/>
              </w:rPr>
              <w:t>Quartile 1 %  Disabled Staff</w:t>
            </w:r>
          </w:p>
        </w:tc>
        <w:tc>
          <w:tcPr>
            <w:tcW w:w="664" w:type="pct"/>
            <w:tcBorders>
              <w:top w:val="single" w:sz="12" w:space="0" w:color="auto"/>
              <w:left w:val="single" w:sz="12" w:space="0" w:color="auto"/>
            </w:tcBorders>
            <w:shd w:val="clear" w:color="auto" w:fill="auto"/>
          </w:tcPr>
          <w:p w:rsidR="00F153CD" w:rsidRDefault="00F153CD" w:rsidP="00F153CD">
            <w:pPr>
              <w:jc w:val="center"/>
            </w:pPr>
            <w:r>
              <w:t>6.83</w:t>
            </w:r>
          </w:p>
        </w:tc>
        <w:tc>
          <w:tcPr>
            <w:tcW w:w="664" w:type="pct"/>
            <w:tcBorders>
              <w:top w:val="single" w:sz="12" w:space="0" w:color="auto"/>
              <w:left w:val="single" w:sz="12" w:space="0" w:color="auto"/>
            </w:tcBorders>
            <w:shd w:val="clear" w:color="auto" w:fill="auto"/>
          </w:tcPr>
          <w:p w:rsidR="00F153CD" w:rsidRDefault="00F153CD" w:rsidP="00F153CD">
            <w:pPr>
              <w:jc w:val="center"/>
            </w:pPr>
            <w:r>
              <w:t>7.47</w:t>
            </w:r>
          </w:p>
        </w:tc>
        <w:tc>
          <w:tcPr>
            <w:tcW w:w="664" w:type="pct"/>
            <w:tcBorders>
              <w:top w:val="single" w:sz="12" w:space="0" w:color="auto"/>
              <w:left w:val="single" w:sz="12" w:space="0" w:color="auto"/>
            </w:tcBorders>
            <w:shd w:val="clear" w:color="auto" w:fill="auto"/>
          </w:tcPr>
          <w:p w:rsidR="00F153CD" w:rsidRDefault="00940935" w:rsidP="00F153CD">
            <w:pPr>
              <w:jc w:val="center"/>
            </w:pPr>
            <w:r>
              <w:t>7.97</w:t>
            </w:r>
          </w:p>
        </w:tc>
        <w:tc>
          <w:tcPr>
            <w:tcW w:w="273" w:type="pct"/>
            <w:tcBorders>
              <w:top w:val="single" w:sz="12" w:space="0" w:color="auto"/>
              <w:left w:val="single" w:sz="12" w:space="0" w:color="auto"/>
            </w:tcBorders>
            <w:shd w:val="clear" w:color="auto" w:fill="auto"/>
          </w:tcPr>
          <w:p w:rsidR="00F153CD" w:rsidRPr="00576026" w:rsidRDefault="00F153CD" w:rsidP="00F153CD">
            <w:pPr>
              <w:jc w:val="center"/>
            </w:pPr>
            <w:r w:rsidRPr="00576026">
              <w:rPr>
                <w:rFonts w:cstheme="minorHAnsi"/>
              </w:rPr>
              <w:t>↑</w:t>
            </w:r>
          </w:p>
        </w:tc>
      </w:tr>
      <w:tr w:rsidR="00F153CD" w:rsidRPr="00BC4F7A" w:rsidTr="00F153CD">
        <w:tc>
          <w:tcPr>
            <w:tcW w:w="2735" w:type="pct"/>
          </w:tcPr>
          <w:p w:rsidR="00F153CD" w:rsidRPr="00BC4F7A" w:rsidRDefault="00F153CD" w:rsidP="00F153CD">
            <w:pPr>
              <w:rPr>
                <w:szCs w:val="24"/>
              </w:rPr>
            </w:pPr>
            <w:r w:rsidRPr="00BC4F7A">
              <w:rPr>
                <w:szCs w:val="24"/>
              </w:rPr>
              <w:t xml:space="preserve">Quartile 2 % </w:t>
            </w:r>
            <w:r>
              <w:rPr>
                <w:szCs w:val="24"/>
              </w:rPr>
              <w:t xml:space="preserve"> Disabled Staff</w:t>
            </w:r>
          </w:p>
        </w:tc>
        <w:tc>
          <w:tcPr>
            <w:tcW w:w="664" w:type="pct"/>
            <w:tcBorders>
              <w:left w:val="single" w:sz="12" w:space="0" w:color="auto"/>
            </w:tcBorders>
            <w:shd w:val="clear" w:color="auto" w:fill="auto"/>
          </w:tcPr>
          <w:p w:rsidR="00F153CD" w:rsidRDefault="00F153CD" w:rsidP="00F153CD">
            <w:pPr>
              <w:jc w:val="center"/>
            </w:pPr>
            <w:r>
              <w:t>5.36</w:t>
            </w:r>
          </w:p>
        </w:tc>
        <w:tc>
          <w:tcPr>
            <w:tcW w:w="664" w:type="pct"/>
            <w:tcBorders>
              <w:left w:val="single" w:sz="12" w:space="0" w:color="auto"/>
            </w:tcBorders>
            <w:shd w:val="clear" w:color="auto" w:fill="auto"/>
          </w:tcPr>
          <w:p w:rsidR="00F153CD" w:rsidRDefault="00F153CD" w:rsidP="00F153CD">
            <w:pPr>
              <w:jc w:val="center"/>
            </w:pPr>
            <w:r>
              <w:t>5.77</w:t>
            </w:r>
          </w:p>
        </w:tc>
        <w:tc>
          <w:tcPr>
            <w:tcW w:w="664" w:type="pct"/>
            <w:tcBorders>
              <w:left w:val="single" w:sz="12" w:space="0" w:color="auto"/>
            </w:tcBorders>
            <w:shd w:val="clear" w:color="auto" w:fill="auto"/>
          </w:tcPr>
          <w:p w:rsidR="00F153CD" w:rsidRDefault="00940935" w:rsidP="00F153CD">
            <w:pPr>
              <w:jc w:val="center"/>
            </w:pPr>
            <w:r>
              <w:t>5.91</w:t>
            </w:r>
          </w:p>
        </w:tc>
        <w:tc>
          <w:tcPr>
            <w:tcW w:w="273" w:type="pct"/>
            <w:tcBorders>
              <w:left w:val="single" w:sz="12" w:space="0" w:color="auto"/>
            </w:tcBorders>
            <w:shd w:val="clear" w:color="auto" w:fill="auto"/>
          </w:tcPr>
          <w:p w:rsidR="00F153CD" w:rsidRPr="00576026" w:rsidRDefault="00F153CD" w:rsidP="00F153CD">
            <w:pPr>
              <w:jc w:val="center"/>
            </w:pPr>
            <w:r w:rsidRPr="00576026">
              <w:rPr>
                <w:rFonts w:cstheme="minorHAnsi"/>
              </w:rPr>
              <w:t>↑</w:t>
            </w:r>
          </w:p>
        </w:tc>
      </w:tr>
      <w:tr w:rsidR="00F153CD" w:rsidRPr="00BC4F7A" w:rsidTr="00F153CD">
        <w:tc>
          <w:tcPr>
            <w:tcW w:w="2735" w:type="pct"/>
            <w:tcBorders>
              <w:bottom w:val="single" w:sz="4" w:space="0" w:color="auto"/>
            </w:tcBorders>
          </w:tcPr>
          <w:p w:rsidR="00F153CD" w:rsidRPr="00BC4F7A" w:rsidRDefault="00F153CD" w:rsidP="00F153CD">
            <w:pPr>
              <w:rPr>
                <w:szCs w:val="24"/>
              </w:rPr>
            </w:pPr>
            <w:r>
              <w:rPr>
                <w:szCs w:val="24"/>
              </w:rPr>
              <w:t>Quartile 3 %  Disabled Staff</w:t>
            </w:r>
          </w:p>
        </w:tc>
        <w:tc>
          <w:tcPr>
            <w:tcW w:w="664" w:type="pct"/>
            <w:tcBorders>
              <w:left w:val="single" w:sz="12" w:space="0" w:color="auto"/>
              <w:bottom w:val="single" w:sz="4" w:space="0" w:color="auto"/>
            </w:tcBorders>
            <w:shd w:val="clear" w:color="auto" w:fill="auto"/>
          </w:tcPr>
          <w:p w:rsidR="00F153CD" w:rsidRDefault="00F153CD" w:rsidP="00F153CD">
            <w:pPr>
              <w:jc w:val="center"/>
            </w:pPr>
            <w:r>
              <w:t>4.59</w:t>
            </w:r>
          </w:p>
        </w:tc>
        <w:tc>
          <w:tcPr>
            <w:tcW w:w="664" w:type="pct"/>
            <w:tcBorders>
              <w:left w:val="single" w:sz="12" w:space="0" w:color="auto"/>
              <w:bottom w:val="single" w:sz="4" w:space="0" w:color="auto"/>
            </w:tcBorders>
            <w:shd w:val="clear" w:color="auto" w:fill="auto"/>
          </w:tcPr>
          <w:p w:rsidR="00F153CD" w:rsidRDefault="00F153CD" w:rsidP="00F153CD">
            <w:pPr>
              <w:jc w:val="center"/>
            </w:pPr>
            <w:r>
              <w:t>5.65</w:t>
            </w:r>
          </w:p>
        </w:tc>
        <w:tc>
          <w:tcPr>
            <w:tcW w:w="664" w:type="pct"/>
            <w:tcBorders>
              <w:left w:val="single" w:sz="12" w:space="0" w:color="auto"/>
              <w:bottom w:val="single" w:sz="4" w:space="0" w:color="auto"/>
            </w:tcBorders>
            <w:shd w:val="clear" w:color="auto" w:fill="auto"/>
          </w:tcPr>
          <w:p w:rsidR="00F153CD" w:rsidRDefault="00940935" w:rsidP="00F153CD">
            <w:pPr>
              <w:jc w:val="center"/>
            </w:pPr>
            <w:r>
              <w:t>5.57</w:t>
            </w:r>
          </w:p>
        </w:tc>
        <w:tc>
          <w:tcPr>
            <w:tcW w:w="273" w:type="pct"/>
            <w:tcBorders>
              <w:left w:val="single" w:sz="12" w:space="0" w:color="auto"/>
              <w:bottom w:val="single" w:sz="4" w:space="0" w:color="auto"/>
            </w:tcBorders>
            <w:shd w:val="clear" w:color="auto" w:fill="auto"/>
          </w:tcPr>
          <w:p w:rsidR="00F153CD" w:rsidRPr="00576026" w:rsidRDefault="00940935" w:rsidP="00F153CD">
            <w:pPr>
              <w:jc w:val="center"/>
            </w:pPr>
            <w:r w:rsidRPr="00576026">
              <w:t>↓</w:t>
            </w:r>
          </w:p>
        </w:tc>
      </w:tr>
      <w:tr w:rsidR="00F153CD" w:rsidRPr="00BC4F7A" w:rsidTr="00F153CD">
        <w:tc>
          <w:tcPr>
            <w:tcW w:w="2735" w:type="pct"/>
            <w:tcBorders>
              <w:bottom w:val="single" w:sz="4" w:space="0" w:color="auto"/>
            </w:tcBorders>
          </w:tcPr>
          <w:p w:rsidR="00F153CD" w:rsidRPr="00BC4F7A" w:rsidRDefault="00F153CD" w:rsidP="00F153CD">
            <w:pPr>
              <w:rPr>
                <w:szCs w:val="24"/>
              </w:rPr>
            </w:pPr>
            <w:r>
              <w:rPr>
                <w:szCs w:val="24"/>
              </w:rPr>
              <w:t>Quartile 4 %  Disabled Staff</w:t>
            </w:r>
          </w:p>
        </w:tc>
        <w:tc>
          <w:tcPr>
            <w:tcW w:w="664" w:type="pct"/>
            <w:tcBorders>
              <w:left w:val="single" w:sz="12" w:space="0" w:color="auto"/>
              <w:bottom w:val="single" w:sz="4" w:space="0" w:color="auto"/>
            </w:tcBorders>
            <w:shd w:val="clear" w:color="auto" w:fill="auto"/>
          </w:tcPr>
          <w:p w:rsidR="00F153CD" w:rsidRDefault="00F153CD" w:rsidP="00F153CD">
            <w:pPr>
              <w:jc w:val="center"/>
            </w:pPr>
            <w:r>
              <w:t>3.28</w:t>
            </w:r>
          </w:p>
        </w:tc>
        <w:tc>
          <w:tcPr>
            <w:tcW w:w="664" w:type="pct"/>
            <w:tcBorders>
              <w:left w:val="single" w:sz="12" w:space="0" w:color="auto"/>
              <w:bottom w:val="single" w:sz="4" w:space="0" w:color="auto"/>
            </w:tcBorders>
            <w:shd w:val="clear" w:color="auto" w:fill="auto"/>
          </w:tcPr>
          <w:p w:rsidR="00F153CD" w:rsidRDefault="00F153CD" w:rsidP="00F153CD">
            <w:pPr>
              <w:jc w:val="center"/>
            </w:pPr>
            <w:r>
              <w:t>3.89</w:t>
            </w:r>
          </w:p>
        </w:tc>
        <w:tc>
          <w:tcPr>
            <w:tcW w:w="664" w:type="pct"/>
            <w:tcBorders>
              <w:left w:val="single" w:sz="12" w:space="0" w:color="auto"/>
              <w:bottom w:val="single" w:sz="4" w:space="0" w:color="auto"/>
            </w:tcBorders>
            <w:shd w:val="clear" w:color="auto" w:fill="auto"/>
          </w:tcPr>
          <w:p w:rsidR="00F153CD" w:rsidRDefault="00940935" w:rsidP="00F153CD">
            <w:pPr>
              <w:jc w:val="center"/>
            </w:pPr>
            <w:r>
              <w:t>3.84</w:t>
            </w:r>
          </w:p>
        </w:tc>
        <w:tc>
          <w:tcPr>
            <w:tcW w:w="273" w:type="pct"/>
            <w:tcBorders>
              <w:left w:val="single" w:sz="12" w:space="0" w:color="auto"/>
              <w:bottom w:val="single" w:sz="4" w:space="0" w:color="auto"/>
            </w:tcBorders>
            <w:shd w:val="clear" w:color="auto" w:fill="auto"/>
          </w:tcPr>
          <w:p w:rsidR="00F153CD" w:rsidRPr="00576026" w:rsidRDefault="00940935" w:rsidP="00F153CD">
            <w:pPr>
              <w:jc w:val="center"/>
            </w:pPr>
            <w:r w:rsidRPr="00576026">
              <w:t>↓</w:t>
            </w:r>
          </w:p>
        </w:tc>
      </w:tr>
    </w:tbl>
    <w:p w:rsidR="00AB0A5A" w:rsidRPr="00AC7373" w:rsidRDefault="00AB0A5A" w:rsidP="007C4801">
      <w:pPr>
        <w:pStyle w:val="NoSpacing"/>
        <w:rPr>
          <w:sz w:val="6"/>
          <w:szCs w:val="6"/>
        </w:rPr>
      </w:pPr>
    </w:p>
    <w:p w:rsidR="00A14864" w:rsidRDefault="007C4801" w:rsidP="007C4801">
      <w:pPr>
        <w:pStyle w:val="Caption"/>
        <w:spacing w:before="200"/>
        <w:rPr>
          <w:i w:val="0"/>
          <w:color w:val="auto"/>
        </w:rPr>
      </w:pPr>
      <w:bookmarkStart w:id="26" w:name="_Toc118197740"/>
      <w:r>
        <w:rPr>
          <w:i w:val="0"/>
          <w:color w:val="auto"/>
        </w:rPr>
        <w:t xml:space="preserve"> </w:t>
      </w:r>
    </w:p>
    <w:p w:rsidR="00284FA8" w:rsidRDefault="00284FA8" w:rsidP="007C4801">
      <w:pPr>
        <w:pStyle w:val="Caption"/>
        <w:spacing w:before="200"/>
        <w:rPr>
          <w:i w:val="0"/>
          <w:color w:val="auto"/>
        </w:rPr>
      </w:pPr>
      <w:r>
        <w:rPr>
          <w:noProof/>
        </w:rPr>
        <w:lastRenderedPageBreak/>
        <w:drawing>
          <wp:inline distT="0" distB="0" distL="0" distR="0" wp14:anchorId="7CB03452" wp14:editId="61459397">
            <wp:extent cx="5731510" cy="291592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2915920"/>
                    </a:xfrm>
                    <a:prstGeom prst="rect">
                      <a:avLst/>
                    </a:prstGeom>
                  </pic:spPr>
                </pic:pic>
              </a:graphicData>
            </a:graphic>
          </wp:inline>
        </w:drawing>
      </w:r>
    </w:p>
    <w:p w:rsidR="007C4801" w:rsidRPr="00EF58AC" w:rsidRDefault="007C4801" w:rsidP="007C4801">
      <w:pPr>
        <w:pStyle w:val="Caption"/>
        <w:spacing w:before="200"/>
        <w:rPr>
          <w:i w:val="0"/>
          <w:color w:val="auto"/>
        </w:rPr>
      </w:pPr>
      <w:r w:rsidRPr="00EF58AC">
        <w:rPr>
          <w:i w:val="0"/>
          <w:color w:val="auto"/>
        </w:rPr>
        <w:t xml:space="preserve">Figure </w:t>
      </w:r>
      <w:r w:rsidR="005541EA">
        <w:rPr>
          <w:i w:val="0"/>
          <w:color w:val="auto"/>
        </w:rPr>
        <w:t>7</w:t>
      </w:r>
      <w:r w:rsidRPr="00EF58AC">
        <w:rPr>
          <w:i w:val="0"/>
          <w:color w:val="auto"/>
        </w:rPr>
        <w:t>: % Distribution of Disabled and Non-Disabled Staff by Pay Grade 202</w:t>
      </w:r>
      <w:r>
        <w:rPr>
          <w:i w:val="0"/>
          <w:color w:val="auto"/>
        </w:rPr>
        <w:t>2</w:t>
      </w:r>
      <w:bookmarkEnd w:id="26"/>
    </w:p>
    <w:p w:rsidR="00725FDB" w:rsidRDefault="00725FDB" w:rsidP="00725FDB">
      <w:r>
        <w:t>Please see section 2 ‘</w:t>
      </w:r>
      <w:r w:rsidRPr="00725FDB">
        <w:t>Executive Summary</w:t>
      </w:r>
      <w:r>
        <w:t xml:space="preserve">’ for a summary of key observations and causes of the disability pay gap. </w:t>
      </w:r>
      <w:r w:rsidR="00A14864">
        <w:t xml:space="preserve"> </w:t>
      </w:r>
    </w:p>
    <w:p w:rsidR="00A55CA4" w:rsidRDefault="00A55CA4" w:rsidP="00AC7373">
      <w:pPr>
        <w:pStyle w:val="NoSpacing"/>
      </w:pPr>
    </w:p>
    <w:p w:rsidR="00770E58" w:rsidRPr="00770E58" w:rsidRDefault="00770E58" w:rsidP="00D1110D">
      <w:pPr>
        <w:pStyle w:val="Heading1"/>
        <w:numPr>
          <w:ilvl w:val="0"/>
          <w:numId w:val="6"/>
        </w:numPr>
        <w:shd w:val="clear" w:color="auto" w:fill="D9E2F3" w:themeFill="accent5" w:themeFillTint="33"/>
      </w:pPr>
      <w:bookmarkStart w:id="27" w:name="_Toc125731586"/>
      <w:r>
        <w:t>Sexual Orientation Pay Gap</w:t>
      </w:r>
      <w:bookmarkEnd w:id="27"/>
    </w:p>
    <w:p w:rsidR="00D366C0" w:rsidRDefault="00D366C0" w:rsidP="007943AE">
      <w:r>
        <w:t xml:space="preserve">A </w:t>
      </w:r>
      <w:r w:rsidRPr="008D455D">
        <w:t xml:space="preserve">positive </w:t>
      </w:r>
      <w:r w:rsidRPr="00D366C0">
        <w:rPr>
          <w:b/>
        </w:rPr>
        <w:t xml:space="preserve">black </w:t>
      </w:r>
      <w:r w:rsidRPr="00D366C0">
        <w:t>number</w:t>
      </w:r>
      <w:r>
        <w:t xml:space="preserve">, </w:t>
      </w:r>
      <w:r w:rsidRPr="008D455D">
        <w:t xml:space="preserve">means that </w:t>
      </w:r>
      <w:r>
        <w:t>there is a pay gap in favour of the Heterosexual/</w:t>
      </w:r>
      <w:r w:rsidR="007C4801">
        <w:t xml:space="preserve"> </w:t>
      </w:r>
      <w:r>
        <w:t>Straight groups</w:t>
      </w:r>
      <w:r w:rsidRPr="008D455D">
        <w:t>, where</w:t>
      </w:r>
      <w:r>
        <w:t>as</w:t>
      </w:r>
      <w:r w:rsidRPr="008D455D">
        <w:t xml:space="preserve"> a negative </w:t>
      </w:r>
      <w:r w:rsidRPr="00D366C0">
        <w:rPr>
          <w:b/>
          <w:color w:val="FF0000"/>
        </w:rPr>
        <w:t xml:space="preserve">red </w:t>
      </w:r>
      <w:r w:rsidRPr="00D366C0">
        <w:t xml:space="preserve">number </w:t>
      </w:r>
      <w:r w:rsidRPr="008D455D">
        <w:t>m</w:t>
      </w:r>
      <w:r>
        <w:t xml:space="preserve">eans that there is a pay gap in </w:t>
      </w:r>
      <w:r w:rsidRPr="008D455D">
        <w:t>favour of</w:t>
      </w:r>
      <w:r>
        <w:t xml:space="preserve"> the Lesbian, Gay, Bisexual and Other group.</w:t>
      </w:r>
    </w:p>
    <w:p w:rsidR="007943AE" w:rsidRPr="00405B74" w:rsidRDefault="00317C50" w:rsidP="007943AE">
      <w:r w:rsidRPr="00405B74">
        <w:t>4786</w:t>
      </w:r>
      <w:r w:rsidR="007943AE" w:rsidRPr="00405B74">
        <w:t xml:space="preserve"> Full Pay Relevant Employees are included in the Statutory </w:t>
      </w:r>
      <w:r w:rsidR="0073739F" w:rsidRPr="00405B74">
        <w:t xml:space="preserve">Sexual Orientation </w:t>
      </w:r>
      <w:r w:rsidR="007943AE" w:rsidRPr="00405B74">
        <w:t>Pa</w:t>
      </w:r>
      <w:r w:rsidR="00157E97" w:rsidRPr="00405B74">
        <w:t>y Gap calcu</w:t>
      </w:r>
      <w:r w:rsidR="00B4677C" w:rsidRPr="00405B74">
        <w:t xml:space="preserve">lation, of which </w:t>
      </w:r>
      <w:r w:rsidRPr="00405B74">
        <w:t>338</w:t>
      </w:r>
      <w:r w:rsidR="00B4677C" w:rsidRPr="00405B74">
        <w:t xml:space="preserve"> (</w:t>
      </w:r>
      <w:r w:rsidRPr="00405B74">
        <w:t>7.1</w:t>
      </w:r>
      <w:r w:rsidR="007943AE" w:rsidRPr="00405B74">
        <w:t xml:space="preserve">%) where known to </w:t>
      </w:r>
      <w:r w:rsidR="009C4639" w:rsidRPr="00405B74">
        <w:t xml:space="preserve">be </w:t>
      </w:r>
      <w:r w:rsidR="00BE7D4D">
        <w:t>L</w:t>
      </w:r>
      <w:r w:rsidR="009C4639" w:rsidRPr="00405B74">
        <w:t xml:space="preserve">esbian, </w:t>
      </w:r>
      <w:r w:rsidR="00BE7D4D">
        <w:t>G</w:t>
      </w:r>
      <w:r w:rsidR="009C4639" w:rsidRPr="00405B74">
        <w:t xml:space="preserve">ay, </w:t>
      </w:r>
      <w:r w:rsidR="00BE7D4D">
        <w:t>B</w:t>
      </w:r>
      <w:r w:rsidR="009C4639" w:rsidRPr="00405B74">
        <w:t xml:space="preserve">isexual or </w:t>
      </w:r>
      <w:r w:rsidR="00BE7D4D">
        <w:t>O</w:t>
      </w:r>
      <w:r w:rsidR="00B4677C" w:rsidRPr="00405B74">
        <w:t xml:space="preserve">ther identify, and </w:t>
      </w:r>
      <w:r w:rsidR="00405B74" w:rsidRPr="00405B74">
        <w:t>4448</w:t>
      </w:r>
      <w:r w:rsidR="00B4677C" w:rsidRPr="00405B74">
        <w:t xml:space="preserve"> (</w:t>
      </w:r>
      <w:r w:rsidR="00405B74" w:rsidRPr="00405B74">
        <w:t>92.9</w:t>
      </w:r>
      <w:r w:rsidR="007943AE" w:rsidRPr="00405B74">
        <w:t xml:space="preserve">%) </w:t>
      </w:r>
      <w:r w:rsidR="009C4639" w:rsidRPr="00405B74">
        <w:t xml:space="preserve">identified as </w:t>
      </w:r>
      <w:r w:rsidR="00277A48">
        <w:t>H</w:t>
      </w:r>
      <w:r w:rsidR="009C4639" w:rsidRPr="00405B74">
        <w:t>eterosexual</w:t>
      </w:r>
      <w:r w:rsidR="007943AE" w:rsidRPr="00405B74">
        <w:t>.</w:t>
      </w:r>
      <w:r w:rsidR="009C4639" w:rsidRPr="00405B74">
        <w:t xml:space="preserve"> The other</w:t>
      </w:r>
      <w:r w:rsidR="007943AE" w:rsidRPr="00405B74">
        <w:t xml:space="preserve"> </w:t>
      </w:r>
      <w:r w:rsidRPr="00405B74">
        <w:t>2186</w:t>
      </w:r>
      <w:r w:rsidR="00FA6A20" w:rsidRPr="00405B74">
        <w:t xml:space="preserve"> (</w:t>
      </w:r>
      <w:r w:rsidRPr="00405B74">
        <w:t>31.4</w:t>
      </w:r>
      <w:r w:rsidR="00FA6A20" w:rsidRPr="00405B74">
        <w:t>%)</w:t>
      </w:r>
      <w:r w:rsidR="009C4639" w:rsidRPr="00405B74">
        <w:t xml:space="preserve"> FPRE </w:t>
      </w:r>
      <w:r w:rsidR="00B24163" w:rsidRPr="00405B74">
        <w:t xml:space="preserve">have not provided information about </w:t>
      </w:r>
      <w:r w:rsidR="009C4639" w:rsidRPr="00405B74">
        <w:t>sexual orientation and have therefore been excluded from</w:t>
      </w:r>
      <w:r w:rsidR="007C4801">
        <w:t xml:space="preserve"> this</w:t>
      </w:r>
      <w:r w:rsidR="009C4639" w:rsidRPr="00405B74">
        <w:t xml:space="preserve"> analysis. </w:t>
      </w:r>
    </w:p>
    <w:p w:rsidR="007943AE" w:rsidRDefault="007943AE" w:rsidP="007C4801">
      <w:pPr>
        <w:pStyle w:val="NoSpacing"/>
        <w:rPr>
          <w:rFonts w:cstheme="minorHAnsi"/>
          <w:sz w:val="18"/>
          <w:szCs w:val="18"/>
        </w:rPr>
      </w:pPr>
      <w:bookmarkStart w:id="28" w:name="_Toc119569380"/>
      <w:r w:rsidRPr="007C4801">
        <w:rPr>
          <w:rFonts w:cstheme="minorHAnsi"/>
          <w:sz w:val="18"/>
          <w:szCs w:val="18"/>
        </w:rPr>
        <w:t>Table</w:t>
      </w:r>
      <w:r w:rsidR="005541EA">
        <w:rPr>
          <w:rFonts w:cstheme="minorHAnsi"/>
          <w:sz w:val="18"/>
          <w:szCs w:val="18"/>
        </w:rPr>
        <w:t>10</w:t>
      </w:r>
      <w:r w:rsidRPr="007C4801">
        <w:rPr>
          <w:rFonts w:cstheme="minorHAnsi"/>
          <w:sz w:val="18"/>
          <w:szCs w:val="18"/>
        </w:rPr>
        <w:t xml:space="preserve">: Statutory </w:t>
      </w:r>
      <w:r w:rsidR="009C4639" w:rsidRPr="007C4801">
        <w:rPr>
          <w:rFonts w:cstheme="minorHAnsi"/>
          <w:sz w:val="18"/>
          <w:szCs w:val="18"/>
        </w:rPr>
        <w:t>Sexuality</w:t>
      </w:r>
      <w:r w:rsidRPr="007C4801">
        <w:rPr>
          <w:rFonts w:cstheme="minorHAnsi"/>
          <w:sz w:val="18"/>
          <w:szCs w:val="18"/>
        </w:rPr>
        <w:t xml:space="preserve"> Pay Gap </w:t>
      </w:r>
      <w:r w:rsidR="0025353B" w:rsidRPr="007C4801">
        <w:rPr>
          <w:rFonts w:cstheme="minorHAnsi"/>
          <w:sz w:val="18"/>
          <w:szCs w:val="18"/>
        </w:rPr>
        <w:t>D</w:t>
      </w:r>
      <w:r w:rsidRPr="007C4801">
        <w:rPr>
          <w:rFonts w:cstheme="minorHAnsi"/>
          <w:sz w:val="18"/>
          <w:szCs w:val="18"/>
        </w:rPr>
        <w:t>ata</w:t>
      </w:r>
      <w:bookmarkEnd w:id="28"/>
    </w:p>
    <w:p w:rsidR="0073741A" w:rsidRPr="0073741A" w:rsidRDefault="0073741A" w:rsidP="007C4801">
      <w:pPr>
        <w:pStyle w:val="NoSpacing"/>
        <w:rPr>
          <w:rFonts w:cstheme="minorHAnsi"/>
          <w:sz w:val="4"/>
          <w:szCs w:val="4"/>
        </w:rPr>
      </w:pPr>
    </w:p>
    <w:tbl>
      <w:tblPr>
        <w:tblStyle w:val="TableGrid"/>
        <w:tblW w:w="5000" w:type="pct"/>
        <w:tblLook w:val="04A0" w:firstRow="1" w:lastRow="0" w:firstColumn="1" w:lastColumn="0" w:noHBand="0" w:noVBand="1"/>
        <w:tblCaption w:val="Statutory Sexuality Pay Gap Data"/>
        <w:tblDescription w:val="2017 to 2020"/>
      </w:tblPr>
      <w:tblGrid>
        <w:gridCol w:w="4934"/>
        <w:gridCol w:w="1198"/>
        <w:gridCol w:w="1198"/>
        <w:gridCol w:w="1198"/>
        <w:gridCol w:w="493"/>
      </w:tblGrid>
      <w:tr w:rsidR="00F153CD" w:rsidRPr="00BC4F7A" w:rsidTr="00F153CD">
        <w:trPr>
          <w:tblHeader/>
        </w:trPr>
        <w:tc>
          <w:tcPr>
            <w:tcW w:w="2735" w:type="pct"/>
            <w:shd w:val="clear" w:color="auto" w:fill="D9D9D9" w:themeFill="background1" w:themeFillShade="D9"/>
          </w:tcPr>
          <w:p w:rsidR="00F153CD" w:rsidRPr="00BC4F7A" w:rsidRDefault="00F153CD" w:rsidP="00F153CD">
            <w:pPr>
              <w:rPr>
                <w:b/>
                <w:szCs w:val="24"/>
              </w:rPr>
            </w:pPr>
          </w:p>
        </w:tc>
        <w:tc>
          <w:tcPr>
            <w:tcW w:w="664" w:type="pct"/>
            <w:tcBorders>
              <w:right w:val="single" w:sz="12" w:space="0" w:color="auto"/>
            </w:tcBorders>
            <w:shd w:val="clear" w:color="auto" w:fill="D9D9D9" w:themeFill="background1" w:themeFillShade="D9"/>
          </w:tcPr>
          <w:p w:rsidR="00F153CD" w:rsidRPr="00BC4F7A" w:rsidRDefault="00F153CD" w:rsidP="00F153CD">
            <w:pPr>
              <w:jc w:val="center"/>
              <w:rPr>
                <w:b/>
                <w:szCs w:val="24"/>
              </w:rPr>
            </w:pPr>
            <w:r w:rsidRPr="00BC4F7A">
              <w:rPr>
                <w:b/>
                <w:szCs w:val="24"/>
              </w:rPr>
              <w:t>2020</w:t>
            </w:r>
          </w:p>
        </w:tc>
        <w:tc>
          <w:tcPr>
            <w:tcW w:w="664" w:type="pct"/>
            <w:tcBorders>
              <w:right w:val="single" w:sz="12" w:space="0" w:color="auto"/>
            </w:tcBorders>
            <w:shd w:val="clear" w:color="auto" w:fill="D9D9D9" w:themeFill="background1" w:themeFillShade="D9"/>
          </w:tcPr>
          <w:p w:rsidR="00F153CD" w:rsidRPr="00BC4F7A" w:rsidRDefault="00F153CD" w:rsidP="00F153CD">
            <w:pPr>
              <w:jc w:val="center"/>
              <w:rPr>
                <w:b/>
                <w:szCs w:val="24"/>
              </w:rPr>
            </w:pPr>
            <w:r>
              <w:rPr>
                <w:b/>
                <w:szCs w:val="24"/>
              </w:rPr>
              <w:t>2021</w:t>
            </w:r>
          </w:p>
        </w:tc>
        <w:tc>
          <w:tcPr>
            <w:tcW w:w="664" w:type="pct"/>
            <w:tcBorders>
              <w:right w:val="single" w:sz="12" w:space="0" w:color="auto"/>
            </w:tcBorders>
            <w:shd w:val="clear" w:color="auto" w:fill="D9D9D9" w:themeFill="background1" w:themeFillShade="D9"/>
          </w:tcPr>
          <w:p w:rsidR="00F153CD" w:rsidRPr="00BC4F7A" w:rsidRDefault="00F153CD" w:rsidP="00F153CD">
            <w:pPr>
              <w:jc w:val="center"/>
              <w:rPr>
                <w:b/>
                <w:szCs w:val="24"/>
              </w:rPr>
            </w:pPr>
            <w:r>
              <w:rPr>
                <w:b/>
                <w:szCs w:val="24"/>
              </w:rPr>
              <w:t>2022</w:t>
            </w:r>
          </w:p>
        </w:tc>
        <w:tc>
          <w:tcPr>
            <w:tcW w:w="273" w:type="pct"/>
            <w:tcBorders>
              <w:top w:val="nil"/>
              <w:left w:val="single" w:sz="12" w:space="0" w:color="auto"/>
              <w:right w:val="nil"/>
            </w:tcBorders>
            <w:shd w:val="clear" w:color="auto" w:fill="auto"/>
          </w:tcPr>
          <w:p w:rsidR="00F153CD" w:rsidRPr="00BC4F7A" w:rsidRDefault="00F153CD" w:rsidP="00F153CD">
            <w:pPr>
              <w:jc w:val="center"/>
              <w:rPr>
                <w:b/>
                <w:szCs w:val="24"/>
              </w:rPr>
            </w:pPr>
          </w:p>
        </w:tc>
      </w:tr>
      <w:tr w:rsidR="00F153CD" w:rsidRPr="00BC4F7A" w:rsidTr="00F153CD">
        <w:tc>
          <w:tcPr>
            <w:tcW w:w="2735" w:type="pct"/>
            <w:shd w:val="clear" w:color="auto" w:fill="auto"/>
          </w:tcPr>
          <w:p w:rsidR="00F153CD" w:rsidRPr="00BC4F7A" w:rsidRDefault="00F153CD" w:rsidP="00F153CD">
            <w:pPr>
              <w:rPr>
                <w:szCs w:val="24"/>
              </w:rPr>
            </w:pPr>
            <w:r w:rsidRPr="00BC4F7A">
              <w:rPr>
                <w:szCs w:val="24"/>
              </w:rPr>
              <w:t xml:space="preserve"># </w:t>
            </w:r>
            <w:r>
              <w:rPr>
                <w:szCs w:val="24"/>
              </w:rPr>
              <w:t>LGBO</w:t>
            </w:r>
          </w:p>
        </w:tc>
        <w:tc>
          <w:tcPr>
            <w:tcW w:w="664" w:type="pct"/>
            <w:tcBorders>
              <w:left w:val="single" w:sz="12" w:space="0" w:color="auto"/>
              <w:right w:val="single" w:sz="12" w:space="0" w:color="auto"/>
            </w:tcBorders>
            <w:shd w:val="clear" w:color="auto" w:fill="auto"/>
          </w:tcPr>
          <w:p w:rsidR="00F153CD" w:rsidRPr="002B4792" w:rsidRDefault="00F153CD" w:rsidP="00F153CD">
            <w:pPr>
              <w:jc w:val="center"/>
            </w:pPr>
            <w:r w:rsidRPr="002B4792">
              <w:t>304</w:t>
            </w:r>
          </w:p>
        </w:tc>
        <w:tc>
          <w:tcPr>
            <w:tcW w:w="664" w:type="pct"/>
            <w:tcBorders>
              <w:top w:val="single" w:sz="4" w:space="0" w:color="auto"/>
              <w:left w:val="single" w:sz="12" w:space="0" w:color="auto"/>
              <w:bottom w:val="single" w:sz="4" w:space="0" w:color="auto"/>
              <w:right w:val="single" w:sz="4" w:space="0" w:color="auto"/>
            </w:tcBorders>
            <w:shd w:val="clear" w:color="auto" w:fill="auto"/>
            <w:vAlign w:val="bottom"/>
          </w:tcPr>
          <w:p w:rsidR="00F153CD" w:rsidRPr="002B4792" w:rsidRDefault="00F153CD" w:rsidP="00F153CD">
            <w:pPr>
              <w:jc w:val="center"/>
            </w:pPr>
            <w:r w:rsidRPr="0074652A">
              <w:rPr>
                <w:rFonts w:ascii="Calibri" w:hAnsi="Calibri" w:cs="Calibri"/>
                <w:color w:val="000000"/>
                <w:szCs w:val="24"/>
              </w:rPr>
              <w:t>322</w:t>
            </w:r>
          </w:p>
        </w:tc>
        <w:tc>
          <w:tcPr>
            <w:tcW w:w="664" w:type="pct"/>
            <w:tcBorders>
              <w:top w:val="single" w:sz="4" w:space="0" w:color="auto"/>
              <w:left w:val="single" w:sz="12" w:space="0" w:color="auto"/>
              <w:bottom w:val="single" w:sz="4" w:space="0" w:color="auto"/>
              <w:right w:val="single" w:sz="4" w:space="0" w:color="auto"/>
            </w:tcBorders>
            <w:shd w:val="clear" w:color="auto" w:fill="auto"/>
            <w:vAlign w:val="bottom"/>
          </w:tcPr>
          <w:p w:rsidR="00F153CD" w:rsidRPr="0074652A" w:rsidRDefault="00D106AB" w:rsidP="00F153CD">
            <w:pPr>
              <w:jc w:val="center"/>
              <w:rPr>
                <w:szCs w:val="24"/>
              </w:rPr>
            </w:pPr>
            <w:r>
              <w:rPr>
                <w:szCs w:val="24"/>
              </w:rPr>
              <w:t>338</w:t>
            </w:r>
          </w:p>
        </w:tc>
        <w:tc>
          <w:tcPr>
            <w:tcW w:w="273" w:type="pct"/>
            <w:tcBorders>
              <w:left w:val="single" w:sz="12"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shd w:val="clear" w:color="auto" w:fill="auto"/>
          </w:tcPr>
          <w:p w:rsidR="00F153CD" w:rsidRPr="00BC4F7A" w:rsidRDefault="00F153CD" w:rsidP="00F153CD">
            <w:pPr>
              <w:rPr>
                <w:szCs w:val="24"/>
              </w:rPr>
            </w:pPr>
            <w:r>
              <w:rPr>
                <w:szCs w:val="24"/>
              </w:rPr>
              <w:t># Hetero</w:t>
            </w:r>
          </w:p>
        </w:tc>
        <w:tc>
          <w:tcPr>
            <w:tcW w:w="664" w:type="pct"/>
            <w:tcBorders>
              <w:left w:val="single" w:sz="12" w:space="0" w:color="auto"/>
              <w:right w:val="single" w:sz="12" w:space="0" w:color="auto"/>
            </w:tcBorders>
            <w:shd w:val="clear" w:color="auto" w:fill="auto"/>
          </w:tcPr>
          <w:p w:rsidR="00F153CD" w:rsidRPr="002B4792" w:rsidRDefault="00F153CD" w:rsidP="00F153CD">
            <w:pPr>
              <w:jc w:val="center"/>
            </w:pPr>
            <w:r w:rsidRPr="002B4792">
              <w:t>4677</w:t>
            </w:r>
          </w:p>
        </w:tc>
        <w:tc>
          <w:tcPr>
            <w:tcW w:w="664" w:type="pct"/>
            <w:tcBorders>
              <w:top w:val="nil"/>
              <w:left w:val="single" w:sz="12" w:space="0" w:color="auto"/>
              <w:bottom w:val="single" w:sz="4" w:space="0" w:color="auto"/>
              <w:right w:val="single" w:sz="4" w:space="0" w:color="auto"/>
            </w:tcBorders>
            <w:shd w:val="clear" w:color="auto" w:fill="auto"/>
            <w:vAlign w:val="bottom"/>
          </w:tcPr>
          <w:p w:rsidR="00F153CD" w:rsidRPr="002B4792" w:rsidRDefault="00F153CD" w:rsidP="00F153CD">
            <w:pPr>
              <w:jc w:val="center"/>
            </w:pPr>
            <w:r w:rsidRPr="0074652A">
              <w:rPr>
                <w:rFonts w:ascii="Calibri" w:hAnsi="Calibri" w:cs="Calibri"/>
                <w:color w:val="000000"/>
                <w:szCs w:val="24"/>
              </w:rPr>
              <w:t>4477</w:t>
            </w:r>
          </w:p>
        </w:tc>
        <w:tc>
          <w:tcPr>
            <w:tcW w:w="664" w:type="pct"/>
            <w:tcBorders>
              <w:top w:val="nil"/>
              <w:left w:val="single" w:sz="12" w:space="0" w:color="auto"/>
              <w:bottom w:val="single" w:sz="4" w:space="0" w:color="auto"/>
              <w:right w:val="single" w:sz="4" w:space="0" w:color="auto"/>
            </w:tcBorders>
            <w:shd w:val="clear" w:color="auto" w:fill="auto"/>
            <w:vAlign w:val="bottom"/>
          </w:tcPr>
          <w:p w:rsidR="00F153CD" w:rsidRPr="0074652A" w:rsidRDefault="00DC73C2" w:rsidP="00F153CD">
            <w:pPr>
              <w:jc w:val="center"/>
              <w:rPr>
                <w:szCs w:val="24"/>
              </w:rPr>
            </w:pPr>
            <w:r>
              <w:rPr>
                <w:szCs w:val="24"/>
              </w:rPr>
              <w:t>4448</w:t>
            </w:r>
          </w:p>
        </w:tc>
        <w:tc>
          <w:tcPr>
            <w:tcW w:w="273" w:type="pct"/>
            <w:tcBorders>
              <w:left w:val="single" w:sz="12"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tcBorders>
              <w:bottom w:val="single" w:sz="12" w:space="0" w:color="auto"/>
            </w:tcBorders>
            <w:shd w:val="clear" w:color="auto" w:fill="auto"/>
          </w:tcPr>
          <w:p w:rsidR="00F153CD" w:rsidRDefault="00F153CD" w:rsidP="00F153CD">
            <w:pPr>
              <w:rPr>
                <w:szCs w:val="24"/>
              </w:rPr>
            </w:pPr>
            <w:r>
              <w:rPr>
                <w:szCs w:val="24"/>
              </w:rPr>
              <w:t># Unknown</w:t>
            </w:r>
          </w:p>
        </w:tc>
        <w:tc>
          <w:tcPr>
            <w:tcW w:w="664" w:type="pct"/>
            <w:tcBorders>
              <w:left w:val="single" w:sz="12" w:space="0" w:color="auto"/>
              <w:bottom w:val="single" w:sz="12" w:space="0" w:color="auto"/>
              <w:right w:val="single" w:sz="12" w:space="0" w:color="auto"/>
            </w:tcBorders>
            <w:shd w:val="clear" w:color="auto" w:fill="auto"/>
          </w:tcPr>
          <w:p w:rsidR="00F153CD" w:rsidRPr="002B4792" w:rsidRDefault="00F153CD" w:rsidP="00F153CD">
            <w:pPr>
              <w:jc w:val="center"/>
            </w:pPr>
            <w:r w:rsidRPr="002B4792">
              <w:t>2337</w:t>
            </w:r>
          </w:p>
        </w:tc>
        <w:tc>
          <w:tcPr>
            <w:tcW w:w="664" w:type="pct"/>
            <w:tcBorders>
              <w:top w:val="nil"/>
              <w:left w:val="single" w:sz="12" w:space="0" w:color="auto"/>
              <w:bottom w:val="single" w:sz="12" w:space="0" w:color="auto"/>
              <w:right w:val="single" w:sz="4" w:space="0" w:color="auto"/>
            </w:tcBorders>
            <w:shd w:val="clear" w:color="auto" w:fill="auto"/>
            <w:vAlign w:val="bottom"/>
          </w:tcPr>
          <w:p w:rsidR="00F153CD" w:rsidRPr="002B4792" w:rsidRDefault="00F153CD" w:rsidP="00F153CD">
            <w:pPr>
              <w:jc w:val="center"/>
            </w:pPr>
            <w:r w:rsidRPr="0074652A">
              <w:rPr>
                <w:rFonts w:ascii="Calibri" w:hAnsi="Calibri" w:cs="Calibri"/>
                <w:color w:val="000000"/>
                <w:szCs w:val="24"/>
              </w:rPr>
              <w:t>2226</w:t>
            </w:r>
          </w:p>
        </w:tc>
        <w:tc>
          <w:tcPr>
            <w:tcW w:w="664" w:type="pct"/>
            <w:tcBorders>
              <w:top w:val="nil"/>
              <w:left w:val="single" w:sz="12" w:space="0" w:color="auto"/>
              <w:bottom w:val="single" w:sz="12" w:space="0" w:color="auto"/>
              <w:right w:val="single" w:sz="4" w:space="0" w:color="auto"/>
            </w:tcBorders>
            <w:shd w:val="clear" w:color="auto" w:fill="auto"/>
            <w:vAlign w:val="bottom"/>
          </w:tcPr>
          <w:p w:rsidR="00F153CD" w:rsidRPr="0074652A" w:rsidRDefault="00DC73C2" w:rsidP="00F153CD">
            <w:pPr>
              <w:jc w:val="center"/>
              <w:rPr>
                <w:szCs w:val="24"/>
              </w:rPr>
            </w:pPr>
            <w:r>
              <w:rPr>
                <w:szCs w:val="24"/>
              </w:rPr>
              <w:t>2186</w:t>
            </w:r>
          </w:p>
        </w:tc>
        <w:tc>
          <w:tcPr>
            <w:tcW w:w="273" w:type="pct"/>
            <w:tcBorders>
              <w:left w:val="single" w:sz="12" w:space="0" w:color="auto"/>
              <w:bottom w:val="single" w:sz="12"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tcBorders>
              <w:top w:val="single" w:sz="12" w:space="0" w:color="auto"/>
              <w:bottom w:val="single" w:sz="4" w:space="0" w:color="auto"/>
            </w:tcBorders>
            <w:shd w:val="clear" w:color="auto" w:fill="auto"/>
          </w:tcPr>
          <w:p w:rsidR="00F153CD" w:rsidRDefault="00F153CD" w:rsidP="00F153CD">
            <w:pPr>
              <w:rPr>
                <w:szCs w:val="24"/>
              </w:rPr>
            </w:pPr>
            <w:r>
              <w:rPr>
                <w:szCs w:val="24"/>
              </w:rPr>
              <w:t>% LGBO</w:t>
            </w:r>
          </w:p>
        </w:tc>
        <w:tc>
          <w:tcPr>
            <w:tcW w:w="664" w:type="pct"/>
            <w:tcBorders>
              <w:top w:val="single" w:sz="12" w:space="0" w:color="auto"/>
              <w:left w:val="single" w:sz="12" w:space="0" w:color="auto"/>
              <w:bottom w:val="single" w:sz="4" w:space="0" w:color="auto"/>
              <w:right w:val="single" w:sz="12" w:space="0" w:color="auto"/>
            </w:tcBorders>
            <w:shd w:val="clear" w:color="auto" w:fill="auto"/>
          </w:tcPr>
          <w:p w:rsidR="00F153CD" w:rsidRPr="002B4792" w:rsidRDefault="00F153CD" w:rsidP="00F153CD">
            <w:pPr>
              <w:jc w:val="center"/>
            </w:pPr>
            <w:r>
              <w:t>4.15</w:t>
            </w:r>
          </w:p>
        </w:tc>
        <w:tc>
          <w:tcPr>
            <w:tcW w:w="664" w:type="pct"/>
            <w:tcBorders>
              <w:top w:val="single" w:sz="12" w:space="0" w:color="auto"/>
              <w:left w:val="single" w:sz="12" w:space="0" w:color="auto"/>
              <w:bottom w:val="single" w:sz="4" w:space="0" w:color="auto"/>
              <w:right w:val="single" w:sz="4" w:space="0" w:color="auto"/>
            </w:tcBorders>
            <w:shd w:val="clear" w:color="auto" w:fill="auto"/>
            <w:vAlign w:val="bottom"/>
          </w:tcPr>
          <w:p w:rsidR="00F153CD" w:rsidRDefault="00F153CD" w:rsidP="00F153CD">
            <w:pPr>
              <w:jc w:val="center"/>
            </w:pPr>
            <w:r w:rsidRPr="0074652A">
              <w:rPr>
                <w:rFonts w:ascii="Calibri" w:hAnsi="Calibri" w:cs="Calibri"/>
                <w:color w:val="000000"/>
                <w:szCs w:val="24"/>
              </w:rPr>
              <w:t>4.58</w:t>
            </w:r>
          </w:p>
        </w:tc>
        <w:tc>
          <w:tcPr>
            <w:tcW w:w="664" w:type="pct"/>
            <w:tcBorders>
              <w:top w:val="single" w:sz="12" w:space="0" w:color="auto"/>
              <w:left w:val="single" w:sz="12" w:space="0" w:color="auto"/>
              <w:bottom w:val="single" w:sz="4" w:space="0" w:color="auto"/>
              <w:right w:val="single" w:sz="4" w:space="0" w:color="auto"/>
            </w:tcBorders>
            <w:shd w:val="clear" w:color="auto" w:fill="auto"/>
            <w:vAlign w:val="bottom"/>
          </w:tcPr>
          <w:p w:rsidR="00F153CD" w:rsidRPr="0074652A" w:rsidRDefault="00DC73C2" w:rsidP="00F153CD">
            <w:pPr>
              <w:jc w:val="center"/>
              <w:rPr>
                <w:szCs w:val="24"/>
              </w:rPr>
            </w:pPr>
            <w:r>
              <w:rPr>
                <w:szCs w:val="24"/>
              </w:rPr>
              <w:t>4.85</w:t>
            </w:r>
          </w:p>
        </w:tc>
        <w:tc>
          <w:tcPr>
            <w:tcW w:w="273" w:type="pct"/>
            <w:tcBorders>
              <w:top w:val="single" w:sz="12" w:space="0" w:color="auto"/>
              <w:left w:val="single" w:sz="12" w:space="0" w:color="auto"/>
              <w:bottom w:val="single" w:sz="4" w:space="0" w:color="auto"/>
            </w:tcBorders>
            <w:shd w:val="clear" w:color="auto" w:fill="auto"/>
          </w:tcPr>
          <w:p w:rsidR="00F153CD" w:rsidRPr="00576026" w:rsidRDefault="00F153CD" w:rsidP="00F153CD">
            <w:pPr>
              <w:jc w:val="center"/>
            </w:pPr>
            <w:r w:rsidRPr="00576026">
              <w:rPr>
                <w:rFonts w:cstheme="minorHAnsi"/>
              </w:rPr>
              <w:t>↑</w:t>
            </w:r>
          </w:p>
        </w:tc>
      </w:tr>
      <w:tr w:rsidR="00F153CD" w:rsidRPr="00BC4F7A" w:rsidTr="00F153CD">
        <w:tc>
          <w:tcPr>
            <w:tcW w:w="2735" w:type="pct"/>
            <w:tcBorders>
              <w:bottom w:val="single" w:sz="4" w:space="0" w:color="auto"/>
            </w:tcBorders>
            <w:shd w:val="clear" w:color="auto" w:fill="auto"/>
          </w:tcPr>
          <w:p w:rsidR="00F153CD" w:rsidRPr="00BC4F7A" w:rsidRDefault="00F153CD" w:rsidP="00F153CD">
            <w:pPr>
              <w:rPr>
                <w:szCs w:val="24"/>
              </w:rPr>
            </w:pPr>
            <w:r w:rsidRPr="00BC4F7A">
              <w:rPr>
                <w:szCs w:val="24"/>
              </w:rPr>
              <w:t xml:space="preserve">% </w:t>
            </w:r>
            <w:r>
              <w:rPr>
                <w:szCs w:val="24"/>
              </w:rPr>
              <w:t>LGBO of Known</w:t>
            </w:r>
          </w:p>
        </w:tc>
        <w:tc>
          <w:tcPr>
            <w:tcW w:w="664" w:type="pct"/>
            <w:tcBorders>
              <w:left w:val="single" w:sz="12" w:space="0" w:color="auto"/>
              <w:bottom w:val="single" w:sz="4" w:space="0" w:color="auto"/>
              <w:right w:val="single" w:sz="12" w:space="0" w:color="auto"/>
            </w:tcBorders>
            <w:shd w:val="clear" w:color="auto" w:fill="auto"/>
          </w:tcPr>
          <w:p w:rsidR="00F153CD" w:rsidRPr="002B4792" w:rsidRDefault="00F153CD" w:rsidP="00F153CD">
            <w:pPr>
              <w:jc w:val="center"/>
            </w:pPr>
            <w:r>
              <w:t>6.51</w:t>
            </w:r>
          </w:p>
        </w:tc>
        <w:tc>
          <w:tcPr>
            <w:tcW w:w="664" w:type="pct"/>
            <w:tcBorders>
              <w:top w:val="nil"/>
              <w:left w:val="single" w:sz="12" w:space="0" w:color="auto"/>
              <w:bottom w:val="single" w:sz="4" w:space="0" w:color="auto"/>
              <w:right w:val="single" w:sz="4" w:space="0" w:color="auto"/>
            </w:tcBorders>
            <w:shd w:val="clear" w:color="auto" w:fill="auto"/>
            <w:vAlign w:val="bottom"/>
          </w:tcPr>
          <w:p w:rsidR="00F153CD" w:rsidRDefault="00F153CD" w:rsidP="00F153CD">
            <w:pPr>
              <w:jc w:val="center"/>
            </w:pPr>
            <w:r w:rsidRPr="0074652A">
              <w:rPr>
                <w:rFonts w:ascii="Calibri" w:hAnsi="Calibri" w:cs="Calibri"/>
                <w:color w:val="000000"/>
                <w:szCs w:val="24"/>
              </w:rPr>
              <w:t>6.71</w:t>
            </w:r>
          </w:p>
        </w:tc>
        <w:tc>
          <w:tcPr>
            <w:tcW w:w="664" w:type="pct"/>
            <w:tcBorders>
              <w:top w:val="nil"/>
              <w:left w:val="single" w:sz="12" w:space="0" w:color="auto"/>
              <w:bottom w:val="single" w:sz="4" w:space="0" w:color="auto"/>
              <w:right w:val="single" w:sz="4" w:space="0" w:color="auto"/>
            </w:tcBorders>
            <w:shd w:val="clear" w:color="auto" w:fill="auto"/>
            <w:vAlign w:val="bottom"/>
          </w:tcPr>
          <w:p w:rsidR="00F153CD" w:rsidRPr="0074652A" w:rsidRDefault="00DC73C2" w:rsidP="00F153CD">
            <w:pPr>
              <w:jc w:val="center"/>
              <w:rPr>
                <w:szCs w:val="24"/>
              </w:rPr>
            </w:pPr>
            <w:r>
              <w:rPr>
                <w:szCs w:val="24"/>
              </w:rPr>
              <w:t>7.06</w:t>
            </w:r>
          </w:p>
        </w:tc>
        <w:tc>
          <w:tcPr>
            <w:tcW w:w="273" w:type="pct"/>
            <w:tcBorders>
              <w:left w:val="single" w:sz="12" w:space="0" w:color="auto"/>
              <w:bottom w:val="single" w:sz="4" w:space="0" w:color="auto"/>
            </w:tcBorders>
            <w:shd w:val="clear" w:color="auto" w:fill="auto"/>
          </w:tcPr>
          <w:p w:rsidR="00F153CD" w:rsidRPr="00576026" w:rsidRDefault="00F153CD" w:rsidP="00F153CD">
            <w:pPr>
              <w:jc w:val="center"/>
            </w:pPr>
            <w:r w:rsidRPr="00576026">
              <w:t>↑</w:t>
            </w:r>
          </w:p>
        </w:tc>
      </w:tr>
      <w:tr w:rsidR="00F153CD" w:rsidRPr="00CB094E" w:rsidTr="00F153CD">
        <w:tc>
          <w:tcPr>
            <w:tcW w:w="2735" w:type="pct"/>
            <w:tcBorders>
              <w:top w:val="single" w:sz="4" w:space="0" w:color="auto"/>
              <w:bottom w:val="single" w:sz="12" w:space="0" w:color="auto"/>
            </w:tcBorders>
            <w:shd w:val="clear" w:color="auto" w:fill="auto"/>
          </w:tcPr>
          <w:p w:rsidR="00F153CD" w:rsidRPr="00CB094E" w:rsidRDefault="00F153CD" w:rsidP="00F153CD">
            <w:pPr>
              <w:rPr>
                <w:szCs w:val="24"/>
              </w:rPr>
            </w:pPr>
            <w:r w:rsidRPr="00CB094E">
              <w:rPr>
                <w:szCs w:val="24"/>
              </w:rPr>
              <w:t>% Unknown Sexuality</w:t>
            </w:r>
          </w:p>
        </w:tc>
        <w:tc>
          <w:tcPr>
            <w:tcW w:w="664" w:type="pct"/>
            <w:tcBorders>
              <w:top w:val="single" w:sz="4" w:space="0" w:color="auto"/>
              <w:left w:val="single" w:sz="12" w:space="0" w:color="auto"/>
              <w:bottom w:val="single" w:sz="12" w:space="0" w:color="auto"/>
              <w:right w:val="single" w:sz="12" w:space="0" w:color="auto"/>
            </w:tcBorders>
            <w:shd w:val="clear" w:color="auto" w:fill="auto"/>
          </w:tcPr>
          <w:p w:rsidR="00F153CD" w:rsidRPr="00CB094E" w:rsidRDefault="00F153CD" w:rsidP="00F153CD">
            <w:pPr>
              <w:jc w:val="center"/>
            </w:pPr>
            <w:r w:rsidRPr="00CB094E">
              <w:t>31.94</w:t>
            </w:r>
          </w:p>
        </w:tc>
        <w:tc>
          <w:tcPr>
            <w:tcW w:w="664" w:type="pct"/>
            <w:tcBorders>
              <w:top w:val="nil"/>
              <w:left w:val="single" w:sz="12" w:space="0" w:color="auto"/>
              <w:bottom w:val="single" w:sz="12" w:space="0" w:color="auto"/>
              <w:right w:val="single" w:sz="4" w:space="0" w:color="auto"/>
            </w:tcBorders>
            <w:shd w:val="clear" w:color="auto" w:fill="auto"/>
            <w:vAlign w:val="bottom"/>
          </w:tcPr>
          <w:p w:rsidR="00F153CD" w:rsidRPr="00CB094E" w:rsidRDefault="00F153CD" w:rsidP="00F153CD">
            <w:pPr>
              <w:jc w:val="center"/>
            </w:pPr>
            <w:r w:rsidRPr="00CB094E">
              <w:rPr>
                <w:rFonts w:ascii="Calibri" w:hAnsi="Calibri" w:cs="Calibri"/>
                <w:color w:val="000000"/>
                <w:szCs w:val="24"/>
              </w:rPr>
              <w:t>31.69</w:t>
            </w:r>
          </w:p>
        </w:tc>
        <w:tc>
          <w:tcPr>
            <w:tcW w:w="664" w:type="pct"/>
            <w:tcBorders>
              <w:top w:val="nil"/>
              <w:left w:val="single" w:sz="12" w:space="0" w:color="auto"/>
              <w:bottom w:val="single" w:sz="12" w:space="0" w:color="auto"/>
              <w:right w:val="single" w:sz="4" w:space="0" w:color="auto"/>
            </w:tcBorders>
            <w:shd w:val="clear" w:color="auto" w:fill="auto"/>
            <w:vAlign w:val="bottom"/>
          </w:tcPr>
          <w:p w:rsidR="00F153CD" w:rsidRPr="00CB094E" w:rsidRDefault="00DC73C2" w:rsidP="00F153CD">
            <w:pPr>
              <w:jc w:val="center"/>
              <w:rPr>
                <w:szCs w:val="24"/>
              </w:rPr>
            </w:pPr>
            <w:r>
              <w:rPr>
                <w:szCs w:val="24"/>
              </w:rPr>
              <w:t>31.35</w:t>
            </w:r>
          </w:p>
        </w:tc>
        <w:tc>
          <w:tcPr>
            <w:tcW w:w="273" w:type="pct"/>
            <w:tcBorders>
              <w:top w:val="single" w:sz="4" w:space="0" w:color="auto"/>
              <w:left w:val="single" w:sz="12" w:space="0" w:color="auto"/>
              <w:bottom w:val="single" w:sz="12"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tcBorders>
              <w:top w:val="single" w:sz="12" w:space="0" w:color="auto"/>
            </w:tcBorders>
          </w:tcPr>
          <w:p w:rsidR="00F153CD" w:rsidRPr="00BC4F7A" w:rsidRDefault="00F153CD" w:rsidP="00F153CD">
            <w:pPr>
              <w:pStyle w:val="ListParagraph"/>
              <w:numPr>
                <w:ilvl w:val="0"/>
                <w:numId w:val="11"/>
              </w:numPr>
              <w:ind w:hanging="189"/>
              <w:rPr>
                <w:szCs w:val="24"/>
              </w:rPr>
            </w:pPr>
            <w:r w:rsidRPr="00BC4F7A">
              <w:rPr>
                <w:szCs w:val="24"/>
              </w:rPr>
              <w:t>Mean</w:t>
            </w:r>
          </w:p>
        </w:tc>
        <w:tc>
          <w:tcPr>
            <w:tcW w:w="664" w:type="pct"/>
            <w:tcBorders>
              <w:top w:val="single" w:sz="12" w:space="0" w:color="auto"/>
              <w:left w:val="single" w:sz="12" w:space="0" w:color="auto"/>
              <w:right w:val="single" w:sz="12" w:space="0" w:color="auto"/>
            </w:tcBorders>
            <w:shd w:val="clear" w:color="auto" w:fill="auto"/>
          </w:tcPr>
          <w:p w:rsidR="00F153CD" w:rsidRDefault="00F153CD" w:rsidP="00F153CD">
            <w:pPr>
              <w:jc w:val="center"/>
            </w:pPr>
            <w:r>
              <w:t>5.90</w:t>
            </w:r>
          </w:p>
        </w:tc>
        <w:tc>
          <w:tcPr>
            <w:tcW w:w="664" w:type="pct"/>
            <w:tcBorders>
              <w:top w:val="single" w:sz="12" w:space="0" w:color="auto"/>
              <w:left w:val="single" w:sz="12" w:space="0" w:color="auto"/>
              <w:bottom w:val="single" w:sz="4" w:space="0" w:color="auto"/>
              <w:right w:val="single" w:sz="4" w:space="0" w:color="auto"/>
            </w:tcBorders>
            <w:shd w:val="clear" w:color="auto" w:fill="auto"/>
            <w:vAlign w:val="bottom"/>
          </w:tcPr>
          <w:p w:rsidR="00F153CD" w:rsidRDefault="00F153CD" w:rsidP="00F153CD">
            <w:pPr>
              <w:jc w:val="center"/>
            </w:pPr>
            <w:r w:rsidRPr="0074652A">
              <w:rPr>
                <w:rFonts w:ascii="Calibri" w:hAnsi="Calibri" w:cs="Calibri"/>
                <w:color w:val="000000"/>
                <w:szCs w:val="24"/>
              </w:rPr>
              <w:t xml:space="preserve">6.78 </w:t>
            </w:r>
          </w:p>
        </w:tc>
        <w:tc>
          <w:tcPr>
            <w:tcW w:w="664" w:type="pct"/>
            <w:tcBorders>
              <w:top w:val="single" w:sz="12" w:space="0" w:color="auto"/>
              <w:left w:val="single" w:sz="12" w:space="0" w:color="auto"/>
              <w:bottom w:val="single" w:sz="4" w:space="0" w:color="auto"/>
              <w:right w:val="single" w:sz="4" w:space="0" w:color="auto"/>
            </w:tcBorders>
            <w:shd w:val="clear" w:color="auto" w:fill="auto"/>
            <w:vAlign w:val="bottom"/>
          </w:tcPr>
          <w:p w:rsidR="00F153CD" w:rsidRPr="0074652A" w:rsidRDefault="00DC73C2" w:rsidP="00F153CD">
            <w:pPr>
              <w:jc w:val="center"/>
              <w:rPr>
                <w:szCs w:val="24"/>
              </w:rPr>
            </w:pPr>
            <w:r>
              <w:rPr>
                <w:szCs w:val="24"/>
              </w:rPr>
              <w:t>5.88</w:t>
            </w:r>
          </w:p>
        </w:tc>
        <w:tc>
          <w:tcPr>
            <w:tcW w:w="273" w:type="pct"/>
            <w:tcBorders>
              <w:top w:val="single" w:sz="12" w:space="0" w:color="auto"/>
              <w:left w:val="single" w:sz="12" w:space="0" w:color="auto"/>
            </w:tcBorders>
            <w:shd w:val="clear" w:color="auto" w:fill="auto"/>
          </w:tcPr>
          <w:p w:rsidR="00F153CD" w:rsidRPr="007F55B5" w:rsidRDefault="007F55B5" w:rsidP="00F153CD">
            <w:pPr>
              <w:jc w:val="center"/>
              <w:rPr>
                <w:color w:val="00B050"/>
              </w:rPr>
            </w:pPr>
            <w:r w:rsidRPr="007F55B5">
              <w:rPr>
                <w:color w:val="00B050"/>
              </w:rPr>
              <w:t>↓</w:t>
            </w:r>
          </w:p>
        </w:tc>
      </w:tr>
      <w:tr w:rsidR="00F153CD" w:rsidRPr="00BC4F7A" w:rsidTr="00F153CD">
        <w:tc>
          <w:tcPr>
            <w:tcW w:w="2735" w:type="pct"/>
            <w:tcBorders>
              <w:bottom w:val="single" w:sz="12" w:space="0" w:color="auto"/>
            </w:tcBorders>
          </w:tcPr>
          <w:p w:rsidR="00F153CD" w:rsidRPr="00BC4F7A" w:rsidRDefault="00F153CD" w:rsidP="00F153CD">
            <w:pPr>
              <w:pStyle w:val="ListParagraph"/>
              <w:numPr>
                <w:ilvl w:val="0"/>
                <w:numId w:val="11"/>
              </w:numPr>
              <w:ind w:hanging="189"/>
              <w:rPr>
                <w:szCs w:val="24"/>
              </w:rPr>
            </w:pPr>
            <w:r w:rsidRPr="00BC4F7A">
              <w:rPr>
                <w:szCs w:val="24"/>
              </w:rPr>
              <w:t>Median</w:t>
            </w:r>
          </w:p>
        </w:tc>
        <w:tc>
          <w:tcPr>
            <w:tcW w:w="664" w:type="pct"/>
            <w:tcBorders>
              <w:left w:val="single" w:sz="12" w:space="0" w:color="auto"/>
              <w:bottom w:val="single" w:sz="12" w:space="0" w:color="auto"/>
              <w:right w:val="single" w:sz="12" w:space="0" w:color="auto"/>
            </w:tcBorders>
            <w:shd w:val="clear" w:color="auto" w:fill="auto"/>
          </w:tcPr>
          <w:p w:rsidR="00F153CD" w:rsidRDefault="00F153CD" w:rsidP="00F153CD">
            <w:pPr>
              <w:jc w:val="center"/>
            </w:pPr>
            <w:r>
              <w:t>3.23</w:t>
            </w:r>
          </w:p>
        </w:tc>
        <w:tc>
          <w:tcPr>
            <w:tcW w:w="664" w:type="pct"/>
            <w:tcBorders>
              <w:top w:val="nil"/>
              <w:left w:val="single" w:sz="12" w:space="0" w:color="auto"/>
              <w:bottom w:val="nil"/>
              <w:right w:val="single" w:sz="4" w:space="0" w:color="auto"/>
            </w:tcBorders>
            <w:shd w:val="clear" w:color="auto" w:fill="auto"/>
            <w:vAlign w:val="bottom"/>
          </w:tcPr>
          <w:p w:rsidR="00F153CD" w:rsidRDefault="00F153CD" w:rsidP="00F153CD">
            <w:pPr>
              <w:jc w:val="center"/>
            </w:pPr>
            <w:r w:rsidRPr="0074652A">
              <w:rPr>
                <w:rFonts w:ascii="Calibri" w:hAnsi="Calibri" w:cs="Calibri"/>
                <w:color w:val="000000"/>
                <w:szCs w:val="24"/>
              </w:rPr>
              <w:t xml:space="preserve">4.15 </w:t>
            </w:r>
          </w:p>
        </w:tc>
        <w:tc>
          <w:tcPr>
            <w:tcW w:w="664" w:type="pct"/>
            <w:tcBorders>
              <w:top w:val="nil"/>
              <w:left w:val="single" w:sz="12" w:space="0" w:color="auto"/>
              <w:bottom w:val="nil"/>
              <w:right w:val="single" w:sz="4" w:space="0" w:color="auto"/>
            </w:tcBorders>
            <w:shd w:val="clear" w:color="auto" w:fill="auto"/>
            <w:vAlign w:val="bottom"/>
          </w:tcPr>
          <w:p w:rsidR="00F153CD" w:rsidRPr="0074652A" w:rsidRDefault="00DC73C2" w:rsidP="00F153CD">
            <w:pPr>
              <w:jc w:val="center"/>
              <w:rPr>
                <w:szCs w:val="24"/>
              </w:rPr>
            </w:pPr>
            <w:r>
              <w:rPr>
                <w:szCs w:val="24"/>
              </w:rPr>
              <w:t>1.21</w:t>
            </w:r>
          </w:p>
        </w:tc>
        <w:tc>
          <w:tcPr>
            <w:tcW w:w="273" w:type="pct"/>
            <w:tcBorders>
              <w:left w:val="single" w:sz="12" w:space="0" w:color="auto"/>
              <w:bottom w:val="single" w:sz="12" w:space="0" w:color="auto"/>
            </w:tcBorders>
            <w:shd w:val="clear" w:color="auto" w:fill="auto"/>
          </w:tcPr>
          <w:p w:rsidR="00F153CD" w:rsidRPr="007F55B5" w:rsidRDefault="00876C53" w:rsidP="00F153CD">
            <w:pPr>
              <w:jc w:val="center"/>
              <w:rPr>
                <w:color w:val="00B050"/>
              </w:rPr>
            </w:pPr>
            <w:r w:rsidRPr="007F55B5">
              <w:rPr>
                <w:color w:val="00B050"/>
              </w:rPr>
              <w:t>↓</w:t>
            </w:r>
          </w:p>
        </w:tc>
      </w:tr>
      <w:tr w:rsidR="00F153CD" w:rsidRPr="00BC4F7A" w:rsidTr="00F153CD">
        <w:tc>
          <w:tcPr>
            <w:tcW w:w="2735" w:type="pct"/>
            <w:tcBorders>
              <w:top w:val="single" w:sz="12" w:space="0" w:color="auto"/>
            </w:tcBorders>
          </w:tcPr>
          <w:p w:rsidR="00F153CD" w:rsidRPr="00BC4F7A" w:rsidRDefault="00F153CD" w:rsidP="00F153CD">
            <w:pPr>
              <w:pStyle w:val="ListParagraph"/>
              <w:numPr>
                <w:ilvl w:val="0"/>
                <w:numId w:val="11"/>
              </w:numPr>
              <w:ind w:hanging="189"/>
              <w:rPr>
                <w:szCs w:val="24"/>
              </w:rPr>
            </w:pPr>
            <w:r w:rsidRPr="00BC4F7A">
              <w:rPr>
                <w:szCs w:val="24"/>
              </w:rPr>
              <w:t>Mean Bonus</w:t>
            </w:r>
          </w:p>
        </w:tc>
        <w:tc>
          <w:tcPr>
            <w:tcW w:w="664" w:type="pct"/>
            <w:tcBorders>
              <w:top w:val="single" w:sz="12" w:space="0" w:color="auto"/>
              <w:left w:val="single" w:sz="12" w:space="0" w:color="auto"/>
            </w:tcBorders>
            <w:shd w:val="clear" w:color="auto" w:fill="auto"/>
          </w:tcPr>
          <w:p w:rsidR="00F153CD" w:rsidRDefault="00F153CD" w:rsidP="00F153CD">
            <w:pPr>
              <w:jc w:val="center"/>
            </w:pPr>
            <w:r>
              <w:t>38.79</w:t>
            </w:r>
          </w:p>
        </w:tc>
        <w:tc>
          <w:tcPr>
            <w:tcW w:w="664" w:type="pct"/>
            <w:tcBorders>
              <w:top w:val="single" w:sz="12" w:space="0" w:color="auto"/>
              <w:left w:val="single" w:sz="12" w:space="0" w:color="auto"/>
            </w:tcBorders>
            <w:shd w:val="clear" w:color="auto" w:fill="auto"/>
          </w:tcPr>
          <w:p w:rsidR="00F153CD" w:rsidRDefault="00F153CD" w:rsidP="00F153CD">
            <w:pPr>
              <w:jc w:val="center"/>
            </w:pPr>
            <w:r>
              <w:t>0.00</w:t>
            </w:r>
          </w:p>
        </w:tc>
        <w:tc>
          <w:tcPr>
            <w:tcW w:w="664" w:type="pct"/>
            <w:tcBorders>
              <w:top w:val="single" w:sz="12" w:space="0" w:color="auto"/>
              <w:left w:val="single" w:sz="12" w:space="0" w:color="auto"/>
            </w:tcBorders>
            <w:shd w:val="clear" w:color="auto" w:fill="auto"/>
          </w:tcPr>
          <w:p w:rsidR="00F153CD" w:rsidRDefault="002B3EF1" w:rsidP="00F153CD">
            <w:pPr>
              <w:jc w:val="center"/>
            </w:pPr>
            <w:r>
              <w:t>0.00</w:t>
            </w:r>
          </w:p>
        </w:tc>
        <w:tc>
          <w:tcPr>
            <w:tcW w:w="273" w:type="pct"/>
            <w:tcBorders>
              <w:top w:val="single" w:sz="12" w:space="0" w:color="auto"/>
              <w:left w:val="single" w:sz="12" w:space="0" w:color="auto"/>
            </w:tcBorders>
            <w:shd w:val="clear" w:color="auto" w:fill="auto"/>
          </w:tcPr>
          <w:p w:rsidR="00F153CD" w:rsidRPr="00576026" w:rsidRDefault="002B3EF1" w:rsidP="00F153CD">
            <w:pPr>
              <w:jc w:val="center"/>
            </w:pPr>
            <w:r>
              <w:t>-</w:t>
            </w:r>
          </w:p>
        </w:tc>
      </w:tr>
      <w:tr w:rsidR="00F153CD" w:rsidRPr="00BC4F7A" w:rsidTr="00F153CD">
        <w:tc>
          <w:tcPr>
            <w:tcW w:w="2735" w:type="pct"/>
            <w:tcBorders>
              <w:bottom w:val="single" w:sz="12" w:space="0" w:color="auto"/>
            </w:tcBorders>
          </w:tcPr>
          <w:p w:rsidR="00F153CD" w:rsidRPr="00BC4F7A" w:rsidRDefault="00F153CD" w:rsidP="00F153CD">
            <w:pPr>
              <w:pStyle w:val="ListParagraph"/>
              <w:numPr>
                <w:ilvl w:val="0"/>
                <w:numId w:val="11"/>
              </w:numPr>
              <w:ind w:hanging="189"/>
              <w:rPr>
                <w:szCs w:val="24"/>
              </w:rPr>
            </w:pPr>
            <w:r w:rsidRPr="00BC4F7A">
              <w:rPr>
                <w:szCs w:val="24"/>
              </w:rPr>
              <w:t>Median Bonus</w:t>
            </w:r>
          </w:p>
        </w:tc>
        <w:tc>
          <w:tcPr>
            <w:tcW w:w="664" w:type="pct"/>
            <w:tcBorders>
              <w:left w:val="single" w:sz="12" w:space="0" w:color="auto"/>
              <w:bottom w:val="single" w:sz="12" w:space="0" w:color="auto"/>
            </w:tcBorders>
            <w:shd w:val="clear" w:color="auto" w:fill="auto"/>
          </w:tcPr>
          <w:p w:rsidR="00F153CD" w:rsidRDefault="00F153CD" w:rsidP="00F153CD">
            <w:pPr>
              <w:jc w:val="center"/>
            </w:pPr>
            <w:r w:rsidRPr="00FF6B20">
              <w:rPr>
                <w:color w:val="FF0000"/>
              </w:rPr>
              <w:t>-354.63</w:t>
            </w:r>
          </w:p>
        </w:tc>
        <w:tc>
          <w:tcPr>
            <w:tcW w:w="664" w:type="pct"/>
            <w:tcBorders>
              <w:left w:val="single" w:sz="12" w:space="0" w:color="auto"/>
              <w:bottom w:val="single" w:sz="12" w:space="0" w:color="auto"/>
            </w:tcBorders>
            <w:shd w:val="clear" w:color="auto" w:fill="auto"/>
          </w:tcPr>
          <w:p w:rsidR="00F153CD" w:rsidRDefault="00F153CD" w:rsidP="00F153CD">
            <w:pPr>
              <w:jc w:val="center"/>
            </w:pPr>
            <w:r>
              <w:t>0.00</w:t>
            </w:r>
          </w:p>
        </w:tc>
        <w:tc>
          <w:tcPr>
            <w:tcW w:w="664" w:type="pct"/>
            <w:tcBorders>
              <w:left w:val="single" w:sz="12" w:space="0" w:color="auto"/>
              <w:bottom w:val="single" w:sz="12" w:space="0" w:color="auto"/>
            </w:tcBorders>
            <w:shd w:val="clear" w:color="auto" w:fill="auto"/>
          </w:tcPr>
          <w:p w:rsidR="00F153CD" w:rsidRDefault="002B3EF1" w:rsidP="00F153CD">
            <w:pPr>
              <w:jc w:val="center"/>
            </w:pPr>
            <w:r>
              <w:t>0.00</w:t>
            </w:r>
          </w:p>
        </w:tc>
        <w:tc>
          <w:tcPr>
            <w:tcW w:w="273" w:type="pct"/>
            <w:tcBorders>
              <w:left w:val="single" w:sz="12" w:space="0" w:color="auto"/>
              <w:bottom w:val="single" w:sz="12" w:space="0" w:color="auto"/>
            </w:tcBorders>
            <w:shd w:val="clear" w:color="auto" w:fill="auto"/>
          </w:tcPr>
          <w:p w:rsidR="00F153CD" w:rsidRPr="00576026" w:rsidRDefault="002B3EF1" w:rsidP="00F153CD">
            <w:pPr>
              <w:jc w:val="center"/>
            </w:pPr>
            <w:r>
              <w:t>-</w:t>
            </w:r>
          </w:p>
        </w:tc>
      </w:tr>
      <w:tr w:rsidR="00F153CD" w:rsidRPr="00BC4F7A" w:rsidTr="00F153CD">
        <w:tc>
          <w:tcPr>
            <w:tcW w:w="2735" w:type="pct"/>
            <w:tcBorders>
              <w:top w:val="single" w:sz="12" w:space="0" w:color="auto"/>
            </w:tcBorders>
          </w:tcPr>
          <w:p w:rsidR="00F153CD" w:rsidRPr="00BC4F7A" w:rsidRDefault="00F153CD" w:rsidP="00F153CD">
            <w:pPr>
              <w:rPr>
                <w:szCs w:val="24"/>
              </w:rPr>
            </w:pPr>
            <w:r>
              <w:rPr>
                <w:szCs w:val="24"/>
              </w:rPr>
              <w:t>% LGBO</w:t>
            </w:r>
            <w:r w:rsidRPr="00BC4F7A">
              <w:rPr>
                <w:szCs w:val="24"/>
              </w:rPr>
              <w:t xml:space="preserve"> </w:t>
            </w:r>
            <w:r w:rsidR="0049360E">
              <w:rPr>
                <w:szCs w:val="24"/>
              </w:rPr>
              <w:t>S</w:t>
            </w:r>
            <w:r w:rsidRPr="00BC4F7A">
              <w:rPr>
                <w:szCs w:val="24"/>
              </w:rPr>
              <w:t xml:space="preserve">taff in </w:t>
            </w:r>
            <w:r w:rsidR="0049360E">
              <w:rPr>
                <w:szCs w:val="24"/>
              </w:rPr>
              <w:t>R</w:t>
            </w:r>
            <w:r w:rsidRPr="00BC4F7A">
              <w:rPr>
                <w:szCs w:val="24"/>
              </w:rPr>
              <w:t xml:space="preserve">eceipt of </w:t>
            </w:r>
            <w:r w:rsidR="0049360E">
              <w:rPr>
                <w:szCs w:val="24"/>
              </w:rPr>
              <w:t>B</w:t>
            </w:r>
            <w:r w:rsidRPr="00BC4F7A">
              <w:rPr>
                <w:szCs w:val="24"/>
              </w:rPr>
              <w:t xml:space="preserve">onus </w:t>
            </w:r>
            <w:r w:rsidR="0049360E">
              <w:rPr>
                <w:szCs w:val="24"/>
              </w:rPr>
              <w:t>P</w:t>
            </w:r>
            <w:r w:rsidRPr="00BC4F7A">
              <w:rPr>
                <w:szCs w:val="24"/>
              </w:rPr>
              <w:t>ay</w:t>
            </w:r>
          </w:p>
        </w:tc>
        <w:tc>
          <w:tcPr>
            <w:tcW w:w="664" w:type="pct"/>
            <w:tcBorders>
              <w:top w:val="single" w:sz="12" w:space="0" w:color="auto"/>
              <w:left w:val="single" w:sz="12" w:space="0" w:color="auto"/>
            </w:tcBorders>
            <w:shd w:val="clear" w:color="auto" w:fill="auto"/>
          </w:tcPr>
          <w:p w:rsidR="00F153CD" w:rsidRDefault="00F153CD" w:rsidP="00F153CD">
            <w:pPr>
              <w:jc w:val="center"/>
            </w:pPr>
            <w:r>
              <w:t>0.60</w:t>
            </w:r>
          </w:p>
        </w:tc>
        <w:tc>
          <w:tcPr>
            <w:tcW w:w="664" w:type="pct"/>
            <w:tcBorders>
              <w:top w:val="single" w:sz="12" w:space="0" w:color="auto"/>
              <w:left w:val="single" w:sz="12" w:space="0" w:color="auto"/>
            </w:tcBorders>
            <w:shd w:val="clear" w:color="auto" w:fill="auto"/>
          </w:tcPr>
          <w:p w:rsidR="00F153CD" w:rsidRDefault="00F153CD" w:rsidP="00F153CD">
            <w:pPr>
              <w:jc w:val="center"/>
            </w:pPr>
            <w:r>
              <w:t>0.00</w:t>
            </w:r>
          </w:p>
        </w:tc>
        <w:tc>
          <w:tcPr>
            <w:tcW w:w="664" w:type="pct"/>
            <w:tcBorders>
              <w:top w:val="single" w:sz="12" w:space="0" w:color="auto"/>
              <w:left w:val="single" w:sz="12" w:space="0" w:color="auto"/>
            </w:tcBorders>
            <w:shd w:val="clear" w:color="auto" w:fill="auto"/>
          </w:tcPr>
          <w:p w:rsidR="00F153CD" w:rsidRDefault="002B3EF1" w:rsidP="00F153CD">
            <w:pPr>
              <w:jc w:val="center"/>
            </w:pPr>
            <w:r>
              <w:t>0.00</w:t>
            </w:r>
          </w:p>
        </w:tc>
        <w:tc>
          <w:tcPr>
            <w:tcW w:w="273" w:type="pct"/>
            <w:tcBorders>
              <w:top w:val="single" w:sz="12" w:space="0" w:color="auto"/>
              <w:left w:val="single" w:sz="12"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tcPr>
          <w:p w:rsidR="00F153CD" w:rsidRPr="00BC4F7A" w:rsidRDefault="00F153CD" w:rsidP="00F153CD">
            <w:pPr>
              <w:rPr>
                <w:szCs w:val="24"/>
              </w:rPr>
            </w:pPr>
            <w:r>
              <w:rPr>
                <w:szCs w:val="24"/>
              </w:rPr>
              <w:t>% of Hetero</w:t>
            </w:r>
            <w:r w:rsidRPr="00BC4F7A">
              <w:rPr>
                <w:szCs w:val="24"/>
              </w:rPr>
              <w:t xml:space="preserve"> </w:t>
            </w:r>
            <w:r w:rsidR="0049360E">
              <w:rPr>
                <w:szCs w:val="24"/>
              </w:rPr>
              <w:t>S</w:t>
            </w:r>
            <w:r w:rsidRPr="00BC4F7A">
              <w:rPr>
                <w:szCs w:val="24"/>
              </w:rPr>
              <w:t xml:space="preserve">taff in </w:t>
            </w:r>
            <w:r w:rsidR="0049360E">
              <w:rPr>
                <w:szCs w:val="24"/>
              </w:rPr>
              <w:t>R</w:t>
            </w:r>
            <w:r w:rsidRPr="00BC4F7A">
              <w:rPr>
                <w:szCs w:val="24"/>
              </w:rPr>
              <w:t xml:space="preserve">eceipt of </w:t>
            </w:r>
            <w:r w:rsidR="0049360E">
              <w:rPr>
                <w:szCs w:val="24"/>
              </w:rPr>
              <w:t>B</w:t>
            </w:r>
            <w:r w:rsidRPr="00BC4F7A">
              <w:rPr>
                <w:szCs w:val="24"/>
              </w:rPr>
              <w:t xml:space="preserve">onus </w:t>
            </w:r>
            <w:r w:rsidR="0049360E">
              <w:rPr>
                <w:szCs w:val="24"/>
              </w:rPr>
              <w:t>P</w:t>
            </w:r>
            <w:r w:rsidRPr="00BC4F7A">
              <w:rPr>
                <w:szCs w:val="24"/>
              </w:rPr>
              <w:t>ay</w:t>
            </w:r>
          </w:p>
        </w:tc>
        <w:tc>
          <w:tcPr>
            <w:tcW w:w="664" w:type="pct"/>
            <w:tcBorders>
              <w:left w:val="single" w:sz="12" w:space="0" w:color="auto"/>
            </w:tcBorders>
            <w:shd w:val="clear" w:color="auto" w:fill="auto"/>
          </w:tcPr>
          <w:p w:rsidR="00F153CD" w:rsidRDefault="00F153CD" w:rsidP="00F153CD">
            <w:pPr>
              <w:jc w:val="center"/>
            </w:pPr>
            <w:r>
              <w:t>1.33</w:t>
            </w:r>
          </w:p>
        </w:tc>
        <w:tc>
          <w:tcPr>
            <w:tcW w:w="664" w:type="pct"/>
            <w:tcBorders>
              <w:left w:val="single" w:sz="12" w:space="0" w:color="auto"/>
            </w:tcBorders>
            <w:shd w:val="clear" w:color="auto" w:fill="auto"/>
          </w:tcPr>
          <w:p w:rsidR="00F153CD" w:rsidRDefault="00F153CD" w:rsidP="00F153CD">
            <w:pPr>
              <w:jc w:val="center"/>
            </w:pPr>
            <w:r>
              <w:t>0.57</w:t>
            </w:r>
          </w:p>
        </w:tc>
        <w:tc>
          <w:tcPr>
            <w:tcW w:w="664" w:type="pct"/>
            <w:tcBorders>
              <w:left w:val="single" w:sz="12" w:space="0" w:color="auto"/>
            </w:tcBorders>
            <w:shd w:val="clear" w:color="auto" w:fill="auto"/>
          </w:tcPr>
          <w:p w:rsidR="00F153CD" w:rsidRDefault="00405B74" w:rsidP="00405B74">
            <w:pPr>
              <w:jc w:val="center"/>
            </w:pPr>
            <w:r>
              <w:t>0.40</w:t>
            </w:r>
          </w:p>
        </w:tc>
        <w:tc>
          <w:tcPr>
            <w:tcW w:w="273" w:type="pct"/>
            <w:tcBorders>
              <w:left w:val="single" w:sz="12"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tcPr>
          <w:p w:rsidR="00F153CD" w:rsidRPr="00BC4F7A" w:rsidRDefault="00F153CD" w:rsidP="00F153CD">
            <w:pPr>
              <w:rPr>
                <w:szCs w:val="24"/>
              </w:rPr>
            </w:pPr>
            <w:r w:rsidRPr="00BC4F7A">
              <w:rPr>
                <w:szCs w:val="24"/>
              </w:rPr>
              <w:lastRenderedPageBreak/>
              <w:t xml:space="preserve">% </w:t>
            </w:r>
            <w:r w:rsidR="0049360E">
              <w:rPr>
                <w:szCs w:val="24"/>
              </w:rPr>
              <w:t>B</w:t>
            </w:r>
            <w:r w:rsidRPr="00BC4F7A">
              <w:rPr>
                <w:szCs w:val="24"/>
              </w:rPr>
              <w:t>on</w:t>
            </w:r>
            <w:r>
              <w:rPr>
                <w:szCs w:val="24"/>
              </w:rPr>
              <w:t xml:space="preserve">us </w:t>
            </w:r>
            <w:r w:rsidR="0049360E">
              <w:rPr>
                <w:szCs w:val="24"/>
              </w:rPr>
              <w:t>P</w:t>
            </w:r>
            <w:r>
              <w:rPr>
                <w:szCs w:val="24"/>
              </w:rPr>
              <w:t xml:space="preserve">ay </w:t>
            </w:r>
            <w:r w:rsidR="0049360E">
              <w:rPr>
                <w:szCs w:val="24"/>
              </w:rPr>
              <w:t>R</w:t>
            </w:r>
            <w:r>
              <w:rPr>
                <w:szCs w:val="24"/>
              </w:rPr>
              <w:t xml:space="preserve">ecipients </w:t>
            </w:r>
            <w:r w:rsidR="0049360E">
              <w:rPr>
                <w:szCs w:val="24"/>
              </w:rPr>
              <w:t>W</w:t>
            </w:r>
            <w:r>
              <w:rPr>
                <w:szCs w:val="24"/>
              </w:rPr>
              <w:t xml:space="preserve">ho </w:t>
            </w:r>
            <w:r w:rsidR="0049360E">
              <w:rPr>
                <w:szCs w:val="24"/>
              </w:rPr>
              <w:t>A</w:t>
            </w:r>
            <w:r>
              <w:rPr>
                <w:szCs w:val="24"/>
              </w:rPr>
              <w:t>re LGBO</w:t>
            </w:r>
          </w:p>
        </w:tc>
        <w:tc>
          <w:tcPr>
            <w:tcW w:w="664" w:type="pct"/>
            <w:tcBorders>
              <w:left w:val="single" w:sz="12" w:space="0" w:color="auto"/>
            </w:tcBorders>
            <w:shd w:val="clear" w:color="auto" w:fill="auto"/>
          </w:tcPr>
          <w:p w:rsidR="00F153CD" w:rsidRDefault="00F153CD" w:rsidP="00F153CD">
            <w:pPr>
              <w:jc w:val="center"/>
            </w:pPr>
            <w:r>
              <w:t>2.90</w:t>
            </w:r>
          </w:p>
        </w:tc>
        <w:tc>
          <w:tcPr>
            <w:tcW w:w="664" w:type="pct"/>
            <w:tcBorders>
              <w:left w:val="single" w:sz="12" w:space="0" w:color="auto"/>
            </w:tcBorders>
            <w:shd w:val="clear" w:color="auto" w:fill="auto"/>
          </w:tcPr>
          <w:p w:rsidR="00F153CD" w:rsidRDefault="00F153CD" w:rsidP="00F153CD">
            <w:pPr>
              <w:jc w:val="center"/>
            </w:pPr>
            <w:r>
              <w:t>0.00</w:t>
            </w:r>
          </w:p>
        </w:tc>
        <w:tc>
          <w:tcPr>
            <w:tcW w:w="664" w:type="pct"/>
            <w:tcBorders>
              <w:left w:val="single" w:sz="12" w:space="0" w:color="auto"/>
            </w:tcBorders>
            <w:shd w:val="clear" w:color="auto" w:fill="auto"/>
          </w:tcPr>
          <w:p w:rsidR="00F153CD" w:rsidRDefault="002B3EF1" w:rsidP="00F153CD">
            <w:pPr>
              <w:jc w:val="center"/>
            </w:pPr>
            <w:r>
              <w:t>0.00</w:t>
            </w:r>
          </w:p>
        </w:tc>
        <w:tc>
          <w:tcPr>
            <w:tcW w:w="273" w:type="pct"/>
            <w:tcBorders>
              <w:left w:val="single" w:sz="12"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tcBorders>
              <w:bottom w:val="single" w:sz="12" w:space="0" w:color="auto"/>
            </w:tcBorders>
          </w:tcPr>
          <w:p w:rsidR="00F153CD" w:rsidRPr="00BC4F7A" w:rsidRDefault="00F153CD" w:rsidP="00F153CD">
            <w:pPr>
              <w:rPr>
                <w:szCs w:val="24"/>
              </w:rPr>
            </w:pPr>
            <w:r w:rsidRPr="00BC4F7A">
              <w:rPr>
                <w:szCs w:val="24"/>
              </w:rPr>
              <w:t xml:space="preserve">% </w:t>
            </w:r>
            <w:r w:rsidR="0049360E">
              <w:rPr>
                <w:szCs w:val="24"/>
              </w:rPr>
              <w:t>B</w:t>
            </w:r>
            <w:r>
              <w:rPr>
                <w:szCs w:val="24"/>
              </w:rPr>
              <w:t xml:space="preserve">onus </w:t>
            </w:r>
            <w:r w:rsidR="0049360E">
              <w:rPr>
                <w:szCs w:val="24"/>
              </w:rPr>
              <w:t>P</w:t>
            </w:r>
            <w:r>
              <w:rPr>
                <w:szCs w:val="24"/>
              </w:rPr>
              <w:t xml:space="preserve">ay </w:t>
            </w:r>
            <w:r w:rsidR="0049360E">
              <w:rPr>
                <w:szCs w:val="24"/>
              </w:rPr>
              <w:t>R</w:t>
            </w:r>
            <w:r>
              <w:rPr>
                <w:szCs w:val="24"/>
              </w:rPr>
              <w:t xml:space="preserve">ecipients </w:t>
            </w:r>
            <w:r w:rsidR="0049360E">
              <w:rPr>
                <w:szCs w:val="24"/>
              </w:rPr>
              <w:t>W</w:t>
            </w:r>
            <w:r>
              <w:rPr>
                <w:szCs w:val="24"/>
              </w:rPr>
              <w:t xml:space="preserve">ho </w:t>
            </w:r>
            <w:r w:rsidR="0049360E">
              <w:rPr>
                <w:szCs w:val="24"/>
              </w:rPr>
              <w:t>A</w:t>
            </w:r>
            <w:r>
              <w:rPr>
                <w:szCs w:val="24"/>
              </w:rPr>
              <w:t>re Hetero</w:t>
            </w:r>
          </w:p>
        </w:tc>
        <w:tc>
          <w:tcPr>
            <w:tcW w:w="664" w:type="pct"/>
            <w:tcBorders>
              <w:left w:val="single" w:sz="12" w:space="0" w:color="auto"/>
              <w:bottom w:val="single" w:sz="12" w:space="0" w:color="auto"/>
            </w:tcBorders>
            <w:shd w:val="clear" w:color="auto" w:fill="auto"/>
          </w:tcPr>
          <w:p w:rsidR="00F153CD" w:rsidRDefault="00F153CD" w:rsidP="00F153CD">
            <w:pPr>
              <w:jc w:val="center"/>
            </w:pPr>
            <w:r>
              <w:t>97.10</w:t>
            </w:r>
          </w:p>
        </w:tc>
        <w:tc>
          <w:tcPr>
            <w:tcW w:w="664" w:type="pct"/>
            <w:tcBorders>
              <w:left w:val="single" w:sz="12" w:space="0" w:color="auto"/>
              <w:bottom w:val="single" w:sz="12" w:space="0" w:color="auto"/>
            </w:tcBorders>
            <w:shd w:val="clear" w:color="auto" w:fill="auto"/>
          </w:tcPr>
          <w:p w:rsidR="00F153CD" w:rsidRDefault="00F153CD" w:rsidP="00F153CD">
            <w:pPr>
              <w:jc w:val="center"/>
            </w:pPr>
            <w:r>
              <w:t>100</w:t>
            </w:r>
          </w:p>
        </w:tc>
        <w:tc>
          <w:tcPr>
            <w:tcW w:w="664" w:type="pct"/>
            <w:tcBorders>
              <w:left w:val="single" w:sz="12" w:space="0" w:color="auto"/>
              <w:bottom w:val="single" w:sz="12" w:space="0" w:color="auto"/>
            </w:tcBorders>
            <w:shd w:val="clear" w:color="auto" w:fill="auto"/>
          </w:tcPr>
          <w:p w:rsidR="00F153CD" w:rsidRDefault="002B3EF1" w:rsidP="00F153CD">
            <w:pPr>
              <w:jc w:val="center"/>
            </w:pPr>
            <w:r>
              <w:t>100</w:t>
            </w:r>
          </w:p>
        </w:tc>
        <w:tc>
          <w:tcPr>
            <w:tcW w:w="273" w:type="pct"/>
            <w:tcBorders>
              <w:left w:val="single" w:sz="12" w:space="0" w:color="auto"/>
              <w:bottom w:val="single" w:sz="12"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tcBorders>
              <w:top w:val="single" w:sz="12" w:space="0" w:color="auto"/>
            </w:tcBorders>
          </w:tcPr>
          <w:p w:rsidR="00F153CD" w:rsidRPr="00BC4F7A" w:rsidRDefault="00F153CD" w:rsidP="00F153CD">
            <w:pPr>
              <w:rPr>
                <w:szCs w:val="24"/>
              </w:rPr>
            </w:pPr>
            <w:r>
              <w:rPr>
                <w:szCs w:val="24"/>
              </w:rPr>
              <w:t>Quartile 1 % LGBO</w:t>
            </w:r>
          </w:p>
        </w:tc>
        <w:tc>
          <w:tcPr>
            <w:tcW w:w="664" w:type="pct"/>
            <w:tcBorders>
              <w:top w:val="single" w:sz="12" w:space="0" w:color="auto"/>
              <w:left w:val="single" w:sz="12" w:space="0" w:color="auto"/>
            </w:tcBorders>
            <w:shd w:val="clear" w:color="auto" w:fill="auto"/>
          </w:tcPr>
          <w:p w:rsidR="00F153CD" w:rsidRDefault="00F153CD" w:rsidP="00F153CD">
            <w:pPr>
              <w:jc w:val="center"/>
            </w:pPr>
            <w:r>
              <w:t>7.62</w:t>
            </w:r>
          </w:p>
        </w:tc>
        <w:tc>
          <w:tcPr>
            <w:tcW w:w="664" w:type="pct"/>
            <w:tcBorders>
              <w:top w:val="single" w:sz="12" w:space="0" w:color="auto"/>
              <w:left w:val="single" w:sz="12" w:space="0" w:color="auto"/>
            </w:tcBorders>
            <w:shd w:val="clear" w:color="auto" w:fill="auto"/>
          </w:tcPr>
          <w:p w:rsidR="00F153CD" w:rsidRDefault="00F153CD" w:rsidP="00F153CD">
            <w:pPr>
              <w:jc w:val="center"/>
            </w:pPr>
            <w:r>
              <w:t>8.25</w:t>
            </w:r>
          </w:p>
        </w:tc>
        <w:tc>
          <w:tcPr>
            <w:tcW w:w="664" w:type="pct"/>
            <w:tcBorders>
              <w:top w:val="single" w:sz="12" w:space="0" w:color="auto"/>
              <w:left w:val="single" w:sz="12" w:space="0" w:color="auto"/>
            </w:tcBorders>
            <w:shd w:val="clear" w:color="auto" w:fill="auto"/>
          </w:tcPr>
          <w:p w:rsidR="00F153CD" w:rsidRDefault="002B3EF1" w:rsidP="00F153CD">
            <w:pPr>
              <w:jc w:val="center"/>
            </w:pPr>
            <w:r>
              <w:t>7.94</w:t>
            </w:r>
          </w:p>
        </w:tc>
        <w:tc>
          <w:tcPr>
            <w:tcW w:w="273" w:type="pct"/>
            <w:tcBorders>
              <w:top w:val="single" w:sz="12" w:space="0" w:color="auto"/>
              <w:left w:val="single" w:sz="12"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tcPr>
          <w:p w:rsidR="00F153CD" w:rsidRPr="00BC4F7A" w:rsidRDefault="00F153CD" w:rsidP="00F153CD">
            <w:pPr>
              <w:rPr>
                <w:szCs w:val="24"/>
              </w:rPr>
            </w:pPr>
            <w:r w:rsidRPr="00BC4F7A">
              <w:rPr>
                <w:szCs w:val="24"/>
              </w:rPr>
              <w:t xml:space="preserve">Quartile 2 % </w:t>
            </w:r>
            <w:r>
              <w:rPr>
                <w:szCs w:val="24"/>
              </w:rPr>
              <w:t>LGBO</w:t>
            </w:r>
          </w:p>
        </w:tc>
        <w:tc>
          <w:tcPr>
            <w:tcW w:w="664" w:type="pct"/>
            <w:tcBorders>
              <w:left w:val="single" w:sz="12" w:space="0" w:color="auto"/>
            </w:tcBorders>
            <w:shd w:val="clear" w:color="auto" w:fill="auto"/>
          </w:tcPr>
          <w:p w:rsidR="00F153CD" w:rsidRDefault="00F153CD" w:rsidP="00F153CD">
            <w:pPr>
              <w:jc w:val="center"/>
            </w:pPr>
            <w:r>
              <w:t>6.17</w:t>
            </w:r>
          </w:p>
        </w:tc>
        <w:tc>
          <w:tcPr>
            <w:tcW w:w="664" w:type="pct"/>
            <w:tcBorders>
              <w:left w:val="single" w:sz="12" w:space="0" w:color="auto"/>
            </w:tcBorders>
            <w:shd w:val="clear" w:color="auto" w:fill="auto"/>
          </w:tcPr>
          <w:p w:rsidR="00F153CD" w:rsidRDefault="00F153CD" w:rsidP="00F153CD">
            <w:pPr>
              <w:jc w:val="center"/>
            </w:pPr>
            <w:r>
              <w:t>7.25</w:t>
            </w:r>
          </w:p>
        </w:tc>
        <w:tc>
          <w:tcPr>
            <w:tcW w:w="664" w:type="pct"/>
            <w:tcBorders>
              <w:left w:val="single" w:sz="12" w:space="0" w:color="auto"/>
            </w:tcBorders>
            <w:shd w:val="clear" w:color="auto" w:fill="auto"/>
          </w:tcPr>
          <w:p w:rsidR="00F153CD" w:rsidRDefault="002B3EF1" w:rsidP="00F153CD">
            <w:pPr>
              <w:jc w:val="center"/>
            </w:pPr>
            <w:r>
              <w:t>6.68</w:t>
            </w:r>
          </w:p>
        </w:tc>
        <w:tc>
          <w:tcPr>
            <w:tcW w:w="273" w:type="pct"/>
            <w:tcBorders>
              <w:left w:val="single" w:sz="12"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tcBorders>
              <w:bottom w:val="single" w:sz="4" w:space="0" w:color="auto"/>
            </w:tcBorders>
          </w:tcPr>
          <w:p w:rsidR="00F153CD" w:rsidRPr="00BC4F7A" w:rsidRDefault="00F153CD" w:rsidP="00F153CD">
            <w:pPr>
              <w:rPr>
                <w:szCs w:val="24"/>
              </w:rPr>
            </w:pPr>
            <w:r>
              <w:rPr>
                <w:szCs w:val="24"/>
              </w:rPr>
              <w:t>Quartile 3 % LGBO</w:t>
            </w:r>
          </w:p>
        </w:tc>
        <w:tc>
          <w:tcPr>
            <w:tcW w:w="664" w:type="pct"/>
            <w:tcBorders>
              <w:left w:val="single" w:sz="12" w:space="0" w:color="auto"/>
              <w:bottom w:val="single" w:sz="4" w:space="0" w:color="auto"/>
            </w:tcBorders>
            <w:shd w:val="clear" w:color="auto" w:fill="auto"/>
          </w:tcPr>
          <w:p w:rsidR="00F153CD" w:rsidRDefault="00F153CD" w:rsidP="00F153CD">
            <w:pPr>
              <w:jc w:val="center"/>
            </w:pPr>
            <w:r>
              <w:t>5.85</w:t>
            </w:r>
          </w:p>
        </w:tc>
        <w:tc>
          <w:tcPr>
            <w:tcW w:w="664" w:type="pct"/>
            <w:tcBorders>
              <w:left w:val="single" w:sz="12" w:space="0" w:color="auto"/>
              <w:bottom w:val="single" w:sz="4" w:space="0" w:color="auto"/>
            </w:tcBorders>
            <w:shd w:val="clear" w:color="auto" w:fill="auto"/>
          </w:tcPr>
          <w:p w:rsidR="00F153CD" w:rsidRDefault="00F153CD" w:rsidP="00F153CD">
            <w:pPr>
              <w:jc w:val="center"/>
            </w:pPr>
            <w:r>
              <w:t>6.25</w:t>
            </w:r>
          </w:p>
        </w:tc>
        <w:tc>
          <w:tcPr>
            <w:tcW w:w="664" w:type="pct"/>
            <w:tcBorders>
              <w:left w:val="single" w:sz="12" w:space="0" w:color="auto"/>
              <w:bottom w:val="single" w:sz="4" w:space="0" w:color="auto"/>
            </w:tcBorders>
            <w:shd w:val="clear" w:color="auto" w:fill="auto"/>
          </w:tcPr>
          <w:p w:rsidR="00F153CD" w:rsidRDefault="002B3EF1" w:rsidP="00F153CD">
            <w:pPr>
              <w:jc w:val="center"/>
            </w:pPr>
            <w:r>
              <w:t>8.36</w:t>
            </w:r>
          </w:p>
        </w:tc>
        <w:tc>
          <w:tcPr>
            <w:tcW w:w="273" w:type="pct"/>
            <w:tcBorders>
              <w:left w:val="single" w:sz="12" w:space="0" w:color="auto"/>
              <w:bottom w:val="single" w:sz="4" w:space="0" w:color="auto"/>
            </w:tcBorders>
            <w:shd w:val="clear" w:color="auto" w:fill="auto"/>
          </w:tcPr>
          <w:p w:rsidR="00F153CD" w:rsidRPr="00576026" w:rsidRDefault="00F153CD" w:rsidP="00F153CD">
            <w:pPr>
              <w:jc w:val="center"/>
            </w:pPr>
            <w:r w:rsidRPr="00576026">
              <w:t>↑</w:t>
            </w:r>
          </w:p>
        </w:tc>
      </w:tr>
      <w:tr w:rsidR="00F153CD" w:rsidRPr="00BC4F7A" w:rsidTr="00F153CD">
        <w:tc>
          <w:tcPr>
            <w:tcW w:w="2735" w:type="pct"/>
            <w:tcBorders>
              <w:bottom w:val="single" w:sz="4" w:space="0" w:color="auto"/>
            </w:tcBorders>
          </w:tcPr>
          <w:p w:rsidR="00F153CD" w:rsidRPr="00BC4F7A" w:rsidRDefault="00F153CD" w:rsidP="00F153CD">
            <w:pPr>
              <w:rPr>
                <w:szCs w:val="24"/>
              </w:rPr>
            </w:pPr>
            <w:r>
              <w:rPr>
                <w:szCs w:val="24"/>
              </w:rPr>
              <w:t>Quartile 4 % LGBO</w:t>
            </w:r>
          </w:p>
        </w:tc>
        <w:tc>
          <w:tcPr>
            <w:tcW w:w="664" w:type="pct"/>
            <w:tcBorders>
              <w:left w:val="single" w:sz="12" w:space="0" w:color="auto"/>
              <w:bottom w:val="single" w:sz="4" w:space="0" w:color="auto"/>
            </w:tcBorders>
            <w:shd w:val="clear" w:color="auto" w:fill="auto"/>
          </w:tcPr>
          <w:p w:rsidR="00F153CD" w:rsidRDefault="00F153CD" w:rsidP="00F153CD">
            <w:pPr>
              <w:jc w:val="center"/>
            </w:pPr>
            <w:r>
              <w:t>4.73</w:t>
            </w:r>
          </w:p>
        </w:tc>
        <w:tc>
          <w:tcPr>
            <w:tcW w:w="664" w:type="pct"/>
            <w:tcBorders>
              <w:left w:val="single" w:sz="12" w:space="0" w:color="auto"/>
              <w:bottom w:val="single" w:sz="4" w:space="0" w:color="auto"/>
            </w:tcBorders>
            <w:shd w:val="clear" w:color="auto" w:fill="auto"/>
          </w:tcPr>
          <w:p w:rsidR="00F153CD" w:rsidRDefault="00F153CD" w:rsidP="00F153CD">
            <w:pPr>
              <w:jc w:val="center"/>
            </w:pPr>
            <w:r>
              <w:t>5.09</w:t>
            </w:r>
          </w:p>
        </w:tc>
        <w:tc>
          <w:tcPr>
            <w:tcW w:w="664" w:type="pct"/>
            <w:tcBorders>
              <w:left w:val="single" w:sz="12" w:space="0" w:color="auto"/>
              <w:bottom w:val="single" w:sz="4" w:space="0" w:color="auto"/>
            </w:tcBorders>
            <w:shd w:val="clear" w:color="auto" w:fill="auto"/>
          </w:tcPr>
          <w:p w:rsidR="00F153CD" w:rsidRDefault="002B3EF1" w:rsidP="00F153CD">
            <w:pPr>
              <w:jc w:val="center"/>
            </w:pPr>
            <w:r>
              <w:t>5.26</w:t>
            </w:r>
          </w:p>
        </w:tc>
        <w:tc>
          <w:tcPr>
            <w:tcW w:w="273" w:type="pct"/>
            <w:tcBorders>
              <w:left w:val="single" w:sz="12" w:space="0" w:color="auto"/>
              <w:bottom w:val="single" w:sz="4" w:space="0" w:color="auto"/>
            </w:tcBorders>
            <w:shd w:val="clear" w:color="auto" w:fill="auto"/>
          </w:tcPr>
          <w:p w:rsidR="00F153CD" w:rsidRPr="00576026" w:rsidRDefault="00F153CD" w:rsidP="00F153CD">
            <w:pPr>
              <w:jc w:val="center"/>
            </w:pPr>
            <w:r w:rsidRPr="00576026">
              <w:t>↑</w:t>
            </w:r>
          </w:p>
        </w:tc>
      </w:tr>
    </w:tbl>
    <w:p w:rsidR="007C4801" w:rsidRPr="007C4801" w:rsidRDefault="007C4801" w:rsidP="007C4801">
      <w:pPr>
        <w:pStyle w:val="NoSpacing"/>
        <w:rPr>
          <w:sz w:val="12"/>
          <w:szCs w:val="12"/>
        </w:rPr>
      </w:pPr>
    </w:p>
    <w:p w:rsidR="007C4801" w:rsidRDefault="007C4801" w:rsidP="007C4801">
      <w:pPr>
        <w:keepNext/>
      </w:pPr>
      <w:r>
        <w:rPr>
          <w:noProof/>
        </w:rPr>
        <w:drawing>
          <wp:inline distT="0" distB="0" distL="0" distR="0" wp14:anchorId="78425FBB" wp14:editId="08644C25">
            <wp:extent cx="5759450" cy="2161789"/>
            <wp:effectExtent l="0" t="0" r="12700" b="10160"/>
            <wp:docPr id="8" name="Chart 8">
              <a:extLst xmlns:a="http://schemas.openxmlformats.org/drawingml/2006/main">
                <a:ext uri="{FF2B5EF4-FFF2-40B4-BE49-F238E27FC236}">
                  <a16:creationId xmlns:a16="http://schemas.microsoft.com/office/drawing/2014/main" id="{93FBA933-ED87-409E-954D-F13BB6763B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C4801" w:rsidRPr="005541EA" w:rsidRDefault="007C4801" w:rsidP="007C4801">
      <w:pPr>
        <w:pStyle w:val="NoSpacing"/>
        <w:rPr>
          <w:sz w:val="18"/>
          <w:szCs w:val="18"/>
        </w:rPr>
      </w:pPr>
      <w:bookmarkStart w:id="29" w:name="_Toc118197742"/>
      <w:r w:rsidRPr="005541EA">
        <w:rPr>
          <w:sz w:val="18"/>
          <w:szCs w:val="18"/>
        </w:rPr>
        <w:t xml:space="preserve">Figure </w:t>
      </w:r>
      <w:r w:rsidR="005541EA" w:rsidRPr="005541EA">
        <w:rPr>
          <w:sz w:val="18"/>
          <w:szCs w:val="18"/>
        </w:rPr>
        <w:t>8</w:t>
      </w:r>
      <w:r w:rsidRPr="005541EA">
        <w:rPr>
          <w:sz w:val="18"/>
          <w:szCs w:val="18"/>
        </w:rPr>
        <w:t>: % Distribution of LGBO and Heterosexual by Pay Grade 2022</w:t>
      </w:r>
      <w:bookmarkEnd w:id="29"/>
    </w:p>
    <w:p w:rsidR="007C4801" w:rsidRPr="007C4801" w:rsidRDefault="007C4801" w:rsidP="007C4801">
      <w:pPr>
        <w:pStyle w:val="NoSpacing"/>
        <w:rPr>
          <w:i/>
          <w:sz w:val="18"/>
          <w:szCs w:val="18"/>
        </w:rPr>
      </w:pPr>
    </w:p>
    <w:p w:rsidR="00725FDB" w:rsidRDefault="00725FDB" w:rsidP="00725FDB">
      <w:r>
        <w:t>Please see section 2 ‘</w:t>
      </w:r>
      <w:r w:rsidRPr="00725FDB">
        <w:t>Executive Summary</w:t>
      </w:r>
      <w:r>
        <w:t xml:space="preserve">’ for a summary of key observations and causes of the sexual orientation pay gap. </w:t>
      </w:r>
    </w:p>
    <w:p w:rsidR="00747866" w:rsidRDefault="00D1110D" w:rsidP="00D1110D">
      <w:pPr>
        <w:pStyle w:val="Heading1"/>
        <w:numPr>
          <w:ilvl w:val="0"/>
          <w:numId w:val="6"/>
        </w:numPr>
        <w:shd w:val="clear" w:color="auto" w:fill="D9E2F3" w:themeFill="accent5" w:themeFillTint="33"/>
      </w:pPr>
      <w:bookmarkStart w:id="30" w:name="_Toc125731587"/>
      <w:r>
        <w:t>Sector Comparison</w:t>
      </w:r>
      <w:bookmarkEnd w:id="30"/>
      <w:r>
        <w:t xml:space="preserve"> </w:t>
      </w:r>
    </w:p>
    <w:p w:rsidR="00747866" w:rsidRDefault="00747866" w:rsidP="00725FDB">
      <w:pPr>
        <w:pStyle w:val="Heading2"/>
        <w:numPr>
          <w:ilvl w:val="1"/>
          <w:numId w:val="47"/>
        </w:numPr>
      </w:pPr>
      <w:r>
        <w:rPr>
          <w:b w:val="0"/>
        </w:rPr>
        <w:t xml:space="preserve"> </w:t>
      </w:r>
      <w:bookmarkStart w:id="31" w:name="_Toc125731588"/>
      <w:r>
        <w:t>Gender</w:t>
      </w:r>
      <w:r w:rsidR="007C4801">
        <w:t xml:space="preserve"> </w:t>
      </w:r>
      <w:r w:rsidR="00B3272F">
        <w:t>C</w:t>
      </w:r>
      <w:r w:rsidR="007C4801">
        <w:t>omparison</w:t>
      </w:r>
      <w:bookmarkEnd w:id="31"/>
      <w:r w:rsidR="007C4801">
        <w:t xml:space="preserve"> </w:t>
      </w:r>
    </w:p>
    <w:p w:rsidR="00747866" w:rsidRPr="00B05208" w:rsidRDefault="00747866" w:rsidP="00747866">
      <w:r w:rsidRPr="00B05208">
        <w:t>It is not possible to compare the 2022 gender pay gap within the sector because the publication deadline of this data is March 2023. However, below is reported the 2021 Gender Pay Gap Comparison with the North West Universities and the Russell Group (excluding Scotland and Northern Ireland):</w:t>
      </w:r>
    </w:p>
    <w:p w:rsidR="00747866" w:rsidRDefault="00747866" w:rsidP="00747866">
      <w:pPr>
        <w:keepNext/>
      </w:pPr>
      <w:r>
        <w:rPr>
          <w:noProof/>
        </w:rPr>
        <w:drawing>
          <wp:inline distT="0" distB="0" distL="0" distR="0" wp14:anchorId="53A7D0C8" wp14:editId="5010DB0C">
            <wp:extent cx="5759450" cy="2562225"/>
            <wp:effectExtent l="0" t="0" r="12700" b="9525"/>
            <wp:docPr id="47" name="Chart 47">
              <a:extLst xmlns:a="http://schemas.openxmlformats.org/drawingml/2006/main">
                <a:ext uri="{FF2B5EF4-FFF2-40B4-BE49-F238E27FC236}">
                  <a16:creationId xmlns:a16="http://schemas.microsoft.com/office/drawing/2014/main" id="{E7034216-E676-42AE-A261-99D6C599B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747866" w:rsidRDefault="00747866" w:rsidP="00747866">
      <w:pPr>
        <w:pStyle w:val="Caption"/>
        <w:spacing w:before="200"/>
        <w:rPr>
          <w:i w:val="0"/>
          <w:color w:val="auto"/>
        </w:rPr>
      </w:pPr>
      <w:bookmarkStart w:id="32" w:name="_Toc118197720"/>
      <w:r w:rsidRPr="00B72929">
        <w:rPr>
          <w:i w:val="0"/>
          <w:color w:val="auto"/>
        </w:rPr>
        <w:t xml:space="preserve">Figure </w:t>
      </w:r>
      <w:r w:rsidRPr="00B72929">
        <w:rPr>
          <w:i w:val="0"/>
          <w:color w:val="auto"/>
        </w:rPr>
        <w:fldChar w:fldCharType="begin"/>
      </w:r>
      <w:r w:rsidRPr="00B72929">
        <w:rPr>
          <w:i w:val="0"/>
          <w:color w:val="auto"/>
        </w:rPr>
        <w:instrText xml:space="preserve"> SEQ Figure \* ARABIC </w:instrText>
      </w:r>
      <w:r w:rsidRPr="00B72929">
        <w:rPr>
          <w:i w:val="0"/>
          <w:color w:val="auto"/>
        </w:rPr>
        <w:fldChar w:fldCharType="separate"/>
      </w:r>
      <w:r>
        <w:rPr>
          <w:i w:val="0"/>
          <w:noProof/>
          <w:color w:val="auto"/>
        </w:rPr>
        <w:t>9</w:t>
      </w:r>
      <w:r w:rsidRPr="00B72929">
        <w:rPr>
          <w:i w:val="0"/>
          <w:color w:val="auto"/>
        </w:rPr>
        <w:fldChar w:fldCharType="end"/>
      </w:r>
      <w:r w:rsidRPr="00B72929">
        <w:rPr>
          <w:i w:val="0"/>
          <w:color w:val="auto"/>
        </w:rPr>
        <w:t>: 202</w:t>
      </w:r>
      <w:r>
        <w:rPr>
          <w:i w:val="0"/>
          <w:color w:val="auto"/>
        </w:rPr>
        <w:t>1</w:t>
      </w:r>
      <w:r w:rsidRPr="00B72929">
        <w:rPr>
          <w:i w:val="0"/>
          <w:color w:val="auto"/>
        </w:rPr>
        <w:t xml:space="preserve"> GPG Median Comparison: North West</w:t>
      </w:r>
      <w:r>
        <w:rPr>
          <w:i w:val="0"/>
          <w:color w:val="auto"/>
        </w:rPr>
        <w:t xml:space="preserve"> Universities</w:t>
      </w:r>
      <w:bookmarkEnd w:id="32"/>
    </w:p>
    <w:p w:rsidR="00747866" w:rsidRPr="004440BA" w:rsidRDefault="00747866" w:rsidP="00747866">
      <w:r>
        <w:lastRenderedPageBreak/>
        <w:t xml:space="preserve">The University’s median pay gap remains relatively high compared to other universities, particularly when benchmarking against other North West based institutions. </w:t>
      </w:r>
    </w:p>
    <w:p w:rsidR="00747866" w:rsidRDefault="00747866" w:rsidP="00747866">
      <w:pPr>
        <w:keepNext/>
      </w:pPr>
      <w:r>
        <w:rPr>
          <w:noProof/>
        </w:rPr>
        <w:drawing>
          <wp:inline distT="0" distB="0" distL="0" distR="0" wp14:anchorId="19BEE1B5" wp14:editId="24EA08C3">
            <wp:extent cx="5759450" cy="3667760"/>
            <wp:effectExtent l="0" t="0" r="12700" b="8890"/>
            <wp:docPr id="46" name="Chart 46">
              <a:extLst xmlns:a="http://schemas.openxmlformats.org/drawingml/2006/main">
                <a:ext uri="{FF2B5EF4-FFF2-40B4-BE49-F238E27FC236}">
                  <a16:creationId xmlns:a16="http://schemas.microsoft.com/office/drawing/2014/main" id="{E7701BC4-C879-4CD0-AFDB-012A81EE04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747866" w:rsidRDefault="00747866" w:rsidP="00747866">
      <w:pPr>
        <w:pStyle w:val="Caption"/>
        <w:spacing w:before="200"/>
        <w:rPr>
          <w:i w:val="0"/>
          <w:color w:val="auto"/>
        </w:rPr>
      </w:pPr>
      <w:bookmarkStart w:id="33" w:name="_Toc118197721"/>
      <w:r w:rsidRPr="00B72929">
        <w:rPr>
          <w:i w:val="0"/>
          <w:color w:val="auto"/>
        </w:rPr>
        <w:t xml:space="preserve">Figure </w:t>
      </w:r>
      <w:r w:rsidRPr="00B72929">
        <w:rPr>
          <w:i w:val="0"/>
          <w:color w:val="auto"/>
        </w:rPr>
        <w:fldChar w:fldCharType="begin"/>
      </w:r>
      <w:r w:rsidRPr="00B72929">
        <w:rPr>
          <w:i w:val="0"/>
          <w:color w:val="auto"/>
        </w:rPr>
        <w:instrText xml:space="preserve"> SEQ Figure \* ARABIC </w:instrText>
      </w:r>
      <w:r w:rsidRPr="00B72929">
        <w:rPr>
          <w:i w:val="0"/>
          <w:color w:val="auto"/>
        </w:rPr>
        <w:fldChar w:fldCharType="separate"/>
      </w:r>
      <w:r>
        <w:rPr>
          <w:i w:val="0"/>
          <w:noProof/>
          <w:color w:val="auto"/>
        </w:rPr>
        <w:t>10</w:t>
      </w:r>
      <w:r w:rsidRPr="00B72929">
        <w:rPr>
          <w:i w:val="0"/>
          <w:color w:val="auto"/>
        </w:rPr>
        <w:fldChar w:fldCharType="end"/>
      </w:r>
      <w:r w:rsidRPr="00B72929">
        <w:rPr>
          <w:i w:val="0"/>
          <w:color w:val="auto"/>
        </w:rPr>
        <w:t>: 202</w:t>
      </w:r>
      <w:r>
        <w:rPr>
          <w:i w:val="0"/>
          <w:color w:val="auto"/>
        </w:rPr>
        <w:t>1</w:t>
      </w:r>
      <w:r w:rsidRPr="00B72929">
        <w:rPr>
          <w:i w:val="0"/>
          <w:color w:val="auto"/>
        </w:rPr>
        <w:t xml:space="preserve"> GPG Median Comparison: Russell Group</w:t>
      </w:r>
      <w:bookmarkEnd w:id="33"/>
    </w:p>
    <w:p w:rsidR="00307B21" w:rsidRDefault="00307B21" w:rsidP="006F3BA8"/>
    <w:p w:rsidR="00747866" w:rsidRDefault="00747866" w:rsidP="007C4801">
      <w:pPr>
        <w:pStyle w:val="Heading2"/>
        <w:numPr>
          <w:ilvl w:val="1"/>
          <w:numId w:val="47"/>
        </w:numPr>
      </w:pPr>
      <w:r>
        <w:t xml:space="preserve"> </w:t>
      </w:r>
      <w:bookmarkStart w:id="34" w:name="_Toc125731589"/>
      <w:r>
        <w:t>Ethnicity</w:t>
      </w:r>
      <w:r w:rsidR="007C4801">
        <w:t xml:space="preserve"> </w:t>
      </w:r>
      <w:r w:rsidR="00B3272F">
        <w:t>C</w:t>
      </w:r>
      <w:r w:rsidR="007C4801">
        <w:t>omparison</w:t>
      </w:r>
      <w:bookmarkEnd w:id="34"/>
      <w:r w:rsidR="007C4801">
        <w:t xml:space="preserve"> </w:t>
      </w:r>
    </w:p>
    <w:p w:rsidR="00747866" w:rsidRDefault="00747866" w:rsidP="00747866">
      <w:r>
        <w:t xml:space="preserve">The Government does not require the publication of an Ethnicity Pay Gap. Therefore, it is not possible to benchmark against any formal or official ethnicity pay gap data. </w:t>
      </w:r>
    </w:p>
    <w:p w:rsidR="00747866" w:rsidRDefault="00747866" w:rsidP="00747866">
      <w:r>
        <w:t>However, in 2021, UCEA requested gender, ethnicity, and intersectional data from HEI institutions to conduct a benchmarking exercise of the 2020 and 2021 Pay Gap. The 2020 comparison was reported last year; however, the 2021 data has not yet been published by UCEA and therefore cannot be commented on in this report.</w:t>
      </w:r>
    </w:p>
    <w:p w:rsidR="0073741A" w:rsidRDefault="0073741A" w:rsidP="0073741A">
      <w:pPr>
        <w:pStyle w:val="NoSpacing"/>
      </w:pPr>
    </w:p>
    <w:p w:rsidR="00747866" w:rsidRDefault="00D1110D" w:rsidP="007C4801">
      <w:pPr>
        <w:pStyle w:val="Heading2"/>
        <w:numPr>
          <w:ilvl w:val="1"/>
          <w:numId w:val="47"/>
        </w:numPr>
      </w:pPr>
      <w:r>
        <w:t xml:space="preserve"> </w:t>
      </w:r>
      <w:bookmarkStart w:id="35" w:name="_Toc125731590"/>
      <w:r w:rsidR="00747866">
        <w:t>Disability &amp; Sexual Orientation</w:t>
      </w:r>
      <w:r w:rsidR="007C4801">
        <w:t xml:space="preserve"> </w:t>
      </w:r>
      <w:r w:rsidR="00B3272F">
        <w:t>C</w:t>
      </w:r>
      <w:r w:rsidR="007C4801">
        <w:t>omparison</w:t>
      </w:r>
      <w:bookmarkEnd w:id="35"/>
    </w:p>
    <w:p w:rsidR="00747866" w:rsidRDefault="00747866" w:rsidP="00747866">
      <w:r>
        <w:t xml:space="preserve">The Government does not require the publication of a Disability or Sexual Orientation Pay Gap. Therefore, it is not possible to benchmark against any formal or official disability or sexual orientation pay gap data. </w:t>
      </w:r>
    </w:p>
    <w:p w:rsidR="00747866" w:rsidRDefault="00747866" w:rsidP="00747866"/>
    <w:p w:rsidR="00A55CA4" w:rsidRDefault="00A55CA4" w:rsidP="00747866"/>
    <w:p w:rsidR="00A55CA4" w:rsidRDefault="00A55CA4" w:rsidP="00747866"/>
    <w:p w:rsidR="00A55CA4" w:rsidRDefault="00A55CA4" w:rsidP="00747866"/>
    <w:p w:rsidR="0012186C" w:rsidRPr="0012186C" w:rsidRDefault="0012186C" w:rsidP="0012186C">
      <w:pPr>
        <w:pStyle w:val="ListParagraph"/>
        <w:numPr>
          <w:ilvl w:val="0"/>
          <w:numId w:val="6"/>
        </w:numPr>
        <w:shd w:val="clear" w:color="auto" w:fill="D9E2F3" w:themeFill="accent5" w:themeFillTint="33"/>
        <w:rPr>
          <w:rFonts w:ascii="Calibri" w:eastAsiaTheme="majorEastAsia" w:hAnsi="Calibri" w:cstheme="majorBidi"/>
          <w:b/>
          <w:color w:val="000000" w:themeColor="text1"/>
          <w:sz w:val="32"/>
          <w:szCs w:val="32"/>
        </w:rPr>
      </w:pPr>
      <w:r w:rsidRPr="0012186C">
        <w:rPr>
          <w:rFonts w:ascii="Calibri" w:eastAsiaTheme="majorEastAsia" w:hAnsi="Calibri" w:cstheme="majorBidi"/>
          <w:b/>
          <w:color w:val="000000" w:themeColor="text1"/>
          <w:sz w:val="32"/>
          <w:szCs w:val="32"/>
        </w:rPr>
        <w:lastRenderedPageBreak/>
        <w:t xml:space="preserve">Actions Taken to Address Pay Gaps </w:t>
      </w:r>
    </w:p>
    <w:p w:rsidR="00D1110D" w:rsidRDefault="00D1110D" w:rsidP="00D1110D">
      <w:r w:rsidRPr="00042445">
        <w:t xml:space="preserve">A summary of actions </w:t>
      </w:r>
      <w:r w:rsidR="004168F5">
        <w:t xml:space="preserve">already </w:t>
      </w:r>
      <w:r w:rsidRPr="00042445">
        <w:t>taken</w:t>
      </w:r>
      <w:r w:rsidR="004168F5">
        <w:t xml:space="preserve"> </w:t>
      </w:r>
      <w:r w:rsidRPr="00042445">
        <w:t>to address equality pay gaps</w:t>
      </w:r>
      <w:r w:rsidR="004168F5">
        <w:t xml:space="preserve"> (following last year’s report/findings)</w:t>
      </w:r>
      <w:r w:rsidRPr="00042445">
        <w:t>, has been shared below.</w:t>
      </w:r>
    </w:p>
    <w:p w:rsidR="00D1110D" w:rsidRPr="007C4801" w:rsidRDefault="00D1110D" w:rsidP="00D1110D">
      <w:pPr>
        <w:rPr>
          <w:u w:val="single"/>
        </w:rPr>
      </w:pPr>
      <w:r w:rsidRPr="007C4801">
        <w:rPr>
          <w:b/>
          <w:u w:val="single"/>
        </w:rPr>
        <w:t>Gender Pay Gap:</w:t>
      </w:r>
      <w:r w:rsidRPr="007C4801">
        <w:rPr>
          <w:u w:val="single"/>
        </w:rPr>
        <w:t xml:space="preserve"> </w:t>
      </w:r>
    </w:p>
    <w:p w:rsidR="00D1110D" w:rsidRPr="009837ED" w:rsidRDefault="00D1110D" w:rsidP="00D1110D">
      <w:r w:rsidRPr="009837ED">
        <w:t>The following activities took place in 2021/22 that contribute to our activities to address the gender pay gap:</w:t>
      </w:r>
    </w:p>
    <w:p w:rsidR="00D1110D" w:rsidRPr="00AD4AC5" w:rsidRDefault="00D1110D" w:rsidP="00AC7373">
      <w:pPr>
        <w:pStyle w:val="Caption"/>
        <w:numPr>
          <w:ilvl w:val="0"/>
          <w:numId w:val="4"/>
        </w:numPr>
        <w:ind w:left="426"/>
        <w:rPr>
          <w:b/>
          <w:i w:val="0"/>
          <w:iCs w:val="0"/>
          <w:color w:val="auto"/>
          <w:sz w:val="24"/>
          <w:szCs w:val="22"/>
        </w:rPr>
      </w:pPr>
      <w:r w:rsidRPr="00AD4AC5">
        <w:rPr>
          <w:b/>
          <w:i w:val="0"/>
          <w:iCs w:val="0"/>
          <w:color w:val="auto"/>
          <w:sz w:val="24"/>
          <w:szCs w:val="22"/>
        </w:rPr>
        <w:t xml:space="preserve">Athena Swan Awards: </w:t>
      </w:r>
      <w:r w:rsidRPr="00AD4AC5">
        <w:rPr>
          <w:i w:val="0"/>
          <w:iCs w:val="0"/>
          <w:color w:val="auto"/>
          <w:sz w:val="24"/>
          <w:szCs w:val="22"/>
        </w:rPr>
        <w:t xml:space="preserve">The University successfully achieved its second consecutive </w:t>
      </w:r>
      <w:r>
        <w:rPr>
          <w:i w:val="0"/>
          <w:iCs w:val="0"/>
          <w:color w:val="auto"/>
          <w:sz w:val="24"/>
          <w:szCs w:val="22"/>
        </w:rPr>
        <w:t xml:space="preserve">institutional </w:t>
      </w:r>
      <w:r w:rsidRPr="00AD4AC5">
        <w:rPr>
          <w:i w:val="0"/>
          <w:iCs w:val="0"/>
          <w:color w:val="auto"/>
          <w:sz w:val="24"/>
          <w:szCs w:val="22"/>
        </w:rPr>
        <w:t>Silver award. In addition, the School of Engineering achieved a Silver departmental award and the School of Physical Sciences was successful in renewing its Silver award.</w:t>
      </w:r>
      <w:r w:rsidRPr="00AD4AC5">
        <w:rPr>
          <w:b/>
          <w:i w:val="0"/>
          <w:iCs w:val="0"/>
          <w:color w:val="auto"/>
          <w:sz w:val="24"/>
          <w:szCs w:val="22"/>
        </w:rPr>
        <w:t xml:space="preserve"> </w:t>
      </w:r>
    </w:p>
    <w:p w:rsidR="00D1110D" w:rsidRPr="00AD4AC5" w:rsidRDefault="00D1110D" w:rsidP="00AC7373">
      <w:pPr>
        <w:pStyle w:val="Caption"/>
        <w:numPr>
          <w:ilvl w:val="0"/>
          <w:numId w:val="4"/>
        </w:numPr>
        <w:ind w:left="426"/>
        <w:rPr>
          <w:b/>
          <w:i w:val="0"/>
          <w:iCs w:val="0"/>
          <w:color w:val="auto"/>
          <w:sz w:val="24"/>
          <w:szCs w:val="22"/>
        </w:rPr>
      </w:pPr>
      <w:r w:rsidRPr="00AD4AC5">
        <w:rPr>
          <w:b/>
          <w:i w:val="0"/>
          <w:iCs w:val="0"/>
          <w:color w:val="auto"/>
          <w:sz w:val="24"/>
          <w:szCs w:val="22"/>
        </w:rPr>
        <w:t xml:space="preserve">Aurora Leadership Programme: </w:t>
      </w:r>
      <w:r w:rsidRPr="00AD4AC5">
        <w:rPr>
          <w:i w:val="0"/>
          <w:iCs w:val="0"/>
          <w:color w:val="auto"/>
          <w:sz w:val="24"/>
          <w:szCs w:val="22"/>
        </w:rPr>
        <w:t>The University supported a further 20 female members of staff to complete Advance HE’s Aurora leadership programme. Since 2013, 154 women have been supported to take part in the Aurora programme.</w:t>
      </w:r>
      <w:r w:rsidRPr="00AD4AC5">
        <w:rPr>
          <w:b/>
          <w:i w:val="0"/>
          <w:iCs w:val="0"/>
          <w:color w:val="auto"/>
          <w:sz w:val="24"/>
          <w:szCs w:val="22"/>
        </w:rPr>
        <w:t xml:space="preserve"> </w:t>
      </w:r>
    </w:p>
    <w:p w:rsidR="00D1110D" w:rsidRPr="009837ED" w:rsidRDefault="00D1110D" w:rsidP="00AC7373">
      <w:pPr>
        <w:pStyle w:val="ListParagraph"/>
        <w:numPr>
          <w:ilvl w:val="0"/>
          <w:numId w:val="4"/>
        </w:numPr>
        <w:ind w:left="426"/>
        <w:rPr>
          <w:b/>
          <w:color w:val="FF0000"/>
        </w:rPr>
      </w:pPr>
      <w:r w:rsidRPr="009837ED">
        <w:rPr>
          <w:b/>
        </w:rPr>
        <w:t xml:space="preserve">Annual Review: </w:t>
      </w:r>
      <w:r w:rsidRPr="00AD4AC5">
        <w:t>The academic promotion round resumed in 2021 after being paused in 2020 due to COVID</w:t>
      </w:r>
      <w:r>
        <w:rPr>
          <w:b/>
        </w:rPr>
        <w:t xml:space="preserve">. </w:t>
      </w:r>
      <w:r w:rsidRPr="00AD4AC5">
        <w:t>The result of the promotion round included:</w:t>
      </w:r>
    </w:p>
    <w:p w:rsidR="00D1110D" w:rsidRDefault="00D1110D" w:rsidP="00D1110D">
      <w:pPr>
        <w:pStyle w:val="ListParagraph"/>
      </w:pPr>
    </w:p>
    <w:p w:rsidR="00D1110D" w:rsidRDefault="00D1110D" w:rsidP="00AC7373">
      <w:pPr>
        <w:pStyle w:val="ListParagraph"/>
        <w:numPr>
          <w:ilvl w:val="1"/>
          <w:numId w:val="4"/>
        </w:numPr>
        <w:ind w:left="851"/>
      </w:pPr>
      <w:r>
        <w:t xml:space="preserve">60% of applications for Chair were from women, with 69% of Chair promotions awarded to women. This was an increase from 31% of applications and 33% successful cases in 2019. </w:t>
      </w:r>
    </w:p>
    <w:p w:rsidR="00D1110D" w:rsidRDefault="00D1110D" w:rsidP="00AC7373">
      <w:pPr>
        <w:pStyle w:val="ListParagraph"/>
        <w:numPr>
          <w:ilvl w:val="1"/>
          <w:numId w:val="4"/>
        </w:numPr>
        <w:ind w:left="851"/>
      </w:pPr>
      <w:r>
        <w:t>In total 16 women were promoted to Professor, including the first female Professors in the School of Engineering.</w:t>
      </w:r>
    </w:p>
    <w:p w:rsidR="00D1110D" w:rsidRDefault="00D1110D" w:rsidP="00AC7373">
      <w:pPr>
        <w:pStyle w:val="ListParagraph"/>
        <w:numPr>
          <w:ilvl w:val="1"/>
          <w:numId w:val="4"/>
        </w:numPr>
        <w:ind w:left="851"/>
      </w:pPr>
      <w:r>
        <w:t xml:space="preserve">33% of Reader applications were from women with 36% of Readerships awarded to women. This was a slight decrease from the proportion in 2019 when 35% of applications were from women, however the proportion promoted stayed the same at 36%. </w:t>
      </w:r>
    </w:p>
    <w:p w:rsidR="00D1110D" w:rsidRDefault="00D1110D" w:rsidP="00AC7373">
      <w:pPr>
        <w:pStyle w:val="ListParagraph"/>
        <w:numPr>
          <w:ilvl w:val="1"/>
          <w:numId w:val="4"/>
        </w:numPr>
        <w:ind w:left="851"/>
      </w:pPr>
      <w:r>
        <w:t xml:space="preserve">48% of Senior Lecturer applications were from women and 50% of successful cases were women. This category has proved most stable with gender balance achieved in the last three Annual Review rounds. </w:t>
      </w:r>
    </w:p>
    <w:p w:rsidR="00D1110D" w:rsidRPr="00AC7373" w:rsidRDefault="00D1110D" w:rsidP="00AC7373">
      <w:pPr>
        <w:pStyle w:val="NoSpacing"/>
        <w:rPr>
          <w:sz w:val="12"/>
          <w:szCs w:val="12"/>
        </w:rPr>
      </w:pPr>
    </w:p>
    <w:p w:rsidR="00D1110D" w:rsidRPr="007C4801" w:rsidRDefault="00D1110D" w:rsidP="00D1110D">
      <w:pPr>
        <w:rPr>
          <w:u w:val="single"/>
        </w:rPr>
      </w:pPr>
      <w:r w:rsidRPr="007C4801">
        <w:rPr>
          <w:b/>
          <w:u w:val="single"/>
        </w:rPr>
        <w:t>Ethnicity Pay Gap (BAME+ &amp; POC):</w:t>
      </w:r>
      <w:r w:rsidRPr="007C4801">
        <w:rPr>
          <w:u w:val="single"/>
        </w:rPr>
        <w:t xml:space="preserve"> </w:t>
      </w:r>
    </w:p>
    <w:p w:rsidR="00D1110D" w:rsidRDefault="00D1110D" w:rsidP="00D1110D">
      <w:r>
        <w:t>The following activities took place in 2021/22 that contribute to our activities to address the ethnicity pay gap:</w:t>
      </w:r>
    </w:p>
    <w:p w:rsidR="00D1110D" w:rsidRDefault="00D1110D" w:rsidP="00204771">
      <w:pPr>
        <w:pStyle w:val="ListParagraph"/>
        <w:numPr>
          <w:ilvl w:val="0"/>
          <w:numId w:val="4"/>
        </w:numPr>
        <w:ind w:left="426"/>
      </w:pPr>
      <w:r w:rsidRPr="00927B41">
        <w:rPr>
          <w:b/>
        </w:rPr>
        <w:t>Race Equality Charter</w:t>
      </w:r>
      <w:r>
        <w:t xml:space="preserve">: In March 2021, the University joined the </w:t>
      </w:r>
      <w:proofErr w:type="spellStart"/>
      <w:r>
        <w:t>AdvanceHE</w:t>
      </w:r>
      <w:proofErr w:type="spellEnd"/>
      <w:r>
        <w:t xml:space="preserve"> Race Equality Charter (REC) and subsequently appointed a Race Equality Officer in Human Resources to deliver the project. REC Governance structures were established (REC Self-Assessment Team and related Subgroups), which feed into the University Equality</w:t>
      </w:r>
      <w:r w:rsidR="00B3272F">
        <w:t>,</w:t>
      </w:r>
      <w:r>
        <w:t xml:space="preserve"> Diversity &amp; Inclusion Committee. Throughout 2021/22 the University has worked to review HR data to include recruitment and progression data to identify actions to address areas of underrepresentation.</w:t>
      </w:r>
    </w:p>
    <w:p w:rsidR="00204771" w:rsidRPr="00AC7373" w:rsidRDefault="00204771" w:rsidP="00AC7373">
      <w:pPr>
        <w:pStyle w:val="NoSpacing"/>
        <w:rPr>
          <w:sz w:val="2"/>
          <w:szCs w:val="2"/>
        </w:rPr>
      </w:pPr>
    </w:p>
    <w:p w:rsidR="00D1110D" w:rsidRDefault="00D1110D" w:rsidP="00AC7373">
      <w:pPr>
        <w:pStyle w:val="ListParagraph"/>
        <w:numPr>
          <w:ilvl w:val="0"/>
          <w:numId w:val="4"/>
        </w:numPr>
        <w:ind w:left="426"/>
      </w:pPr>
      <w:r>
        <w:rPr>
          <w:b/>
        </w:rPr>
        <w:t>Diversifying HE</w:t>
      </w:r>
      <w:r w:rsidRPr="009443D3">
        <w:rPr>
          <w:b/>
        </w:rPr>
        <w:t xml:space="preserve"> Leadership</w:t>
      </w:r>
      <w:r>
        <w:t xml:space="preserve">: POC staff were supported to participate in the 2021/22 Diversifying Leadership programme delivered by </w:t>
      </w:r>
      <w:proofErr w:type="spellStart"/>
      <w:r>
        <w:t>AdvanceHE</w:t>
      </w:r>
      <w:proofErr w:type="spellEnd"/>
      <w:r>
        <w:t>.</w:t>
      </w:r>
    </w:p>
    <w:p w:rsidR="00D1110D" w:rsidRPr="007C4801" w:rsidRDefault="00D1110D" w:rsidP="00D1110D">
      <w:pPr>
        <w:rPr>
          <w:u w:val="single"/>
        </w:rPr>
      </w:pPr>
      <w:r w:rsidRPr="007C4801">
        <w:rPr>
          <w:b/>
          <w:u w:val="single"/>
        </w:rPr>
        <w:lastRenderedPageBreak/>
        <w:t>Disability &amp; Sexual</w:t>
      </w:r>
      <w:r w:rsidR="004168F5">
        <w:rPr>
          <w:b/>
          <w:u w:val="single"/>
        </w:rPr>
        <w:t xml:space="preserve"> Orientation</w:t>
      </w:r>
      <w:r w:rsidRPr="007C4801">
        <w:rPr>
          <w:b/>
          <w:u w:val="single"/>
        </w:rPr>
        <w:t xml:space="preserve"> Pay Gaps</w:t>
      </w:r>
      <w:r w:rsidRPr="007C4801">
        <w:rPr>
          <w:u w:val="single"/>
        </w:rPr>
        <w:t xml:space="preserve">: </w:t>
      </w:r>
    </w:p>
    <w:p w:rsidR="00BC728F" w:rsidRPr="00BC728F" w:rsidRDefault="00A45874" w:rsidP="00D1110D">
      <w:r>
        <w:t>T</w:t>
      </w:r>
      <w:r w:rsidR="00BC728F">
        <w:t>he University’s Equality, Diversity and Inclusion (ED</w:t>
      </w:r>
      <w:r>
        <w:t>I</w:t>
      </w:r>
      <w:r w:rsidR="00BC728F">
        <w:t xml:space="preserve">) Committee </w:t>
      </w:r>
      <w:r>
        <w:t xml:space="preserve">has recognised </w:t>
      </w:r>
      <w:r w:rsidR="004168F5" w:rsidRPr="00BC728F">
        <w:t xml:space="preserve">that more needs to be done to address the University’s disability and sexual orientation pay gaps. </w:t>
      </w:r>
    </w:p>
    <w:p w:rsidR="00D1110D" w:rsidRDefault="00D1110D" w:rsidP="00D1110D">
      <w:r w:rsidRPr="00BC728F">
        <w:t>Considerations relating to actions to address the disability/sexual</w:t>
      </w:r>
      <w:r w:rsidR="004168F5" w:rsidRPr="00BC728F">
        <w:t xml:space="preserve"> orientation</w:t>
      </w:r>
      <w:r w:rsidRPr="00BC728F">
        <w:t xml:space="preserve"> pay gaps (alongside gender and ethnicity) have been made as part of the development of the University’s new Equality Objectives/Priority Action Plan (2022 – 2028). Once approved by SLT &amp; Council, activities in this area will include;</w:t>
      </w:r>
    </w:p>
    <w:p w:rsidR="00D1110D" w:rsidRPr="00560840" w:rsidRDefault="00D1110D" w:rsidP="00D1110D">
      <w:pPr>
        <w:pStyle w:val="ListParagraph"/>
        <w:numPr>
          <w:ilvl w:val="0"/>
          <w:numId w:val="46"/>
        </w:numPr>
      </w:pPr>
      <w:r w:rsidRPr="00560840">
        <w:t>Encouraging disclos</w:t>
      </w:r>
      <w:r w:rsidR="00B35D0A" w:rsidRPr="00560840">
        <w:t>ure</w:t>
      </w:r>
      <w:r w:rsidRPr="00560840">
        <w:t xml:space="preserve"> of EDI </w:t>
      </w:r>
      <w:r w:rsidR="00B35D0A" w:rsidRPr="00560840">
        <w:t xml:space="preserve">characteristics to enable improved understanding of the issues and </w:t>
      </w:r>
      <w:r w:rsidR="00560840" w:rsidRPr="00560840">
        <w:t xml:space="preserve">higher levels of </w:t>
      </w:r>
      <w:r w:rsidR="00B35D0A" w:rsidRPr="00560840">
        <w:t>confidence that actions are appropriat</w:t>
      </w:r>
      <w:r w:rsidR="00560840" w:rsidRPr="00560840">
        <w:t>ely</w:t>
      </w:r>
      <w:r w:rsidR="00B35D0A" w:rsidRPr="00560840">
        <w:t xml:space="preserve"> targeted</w:t>
      </w:r>
      <w:r w:rsidR="00560840" w:rsidRPr="00560840">
        <w:t xml:space="preserve"> </w:t>
      </w:r>
      <w:r w:rsidRPr="00560840">
        <w:t>(</w:t>
      </w:r>
      <w:r w:rsidR="00560840" w:rsidRPr="00560840">
        <w:t xml:space="preserve">particularly in </w:t>
      </w:r>
      <w:r w:rsidRPr="00560840">
        <w:t>relati</w:t>
      </w:r>
      <w:r w:rsidR="00560840" w:rsidRPr="00560840">
        <w:t>on</w:t>
      </w:r>
      <w:r w:rsidRPr="00560840">
        <w:t xml:space="preserve"> to disability/sexuality)</w:t>
      </w:r>
    </w:p>
    <w:p w:rsidR="00D1110D" w:rsidRPr="00560840" w:rsidRDefault="00D1110D" w:rsidP="00D1110D">
      <w:pPr>
        <w:pStyle w:val="ListParagraph"/>
        <w:numPr>
          <w:ilvl w:val="0"/>
          <w:numId w:val="46"/>
        </w:numPr>
      </w:pPr>
      <w:r w:rsidRPr="00560840">
        <w:t>The use of Positive Action statements within job descriptors/advertisements</w:t>
      </w:r>
    </w:p>
    <w:p w:rsidR="00D1110D" w:rsidRDefault="00D1110D" w:rsidP="00D1110D">
      <w:pPr>
        <w:pStyle w:val="ListParagraph"/>
        <w:numPr>
          <w:ilvl w:val="0"/>
          <w:numId w:val="46"/>
        </w:numPr>
      </w:pPr>
      <w:r>
        <w:t>Further engagement with community groups (</w:t>
      </w:r>
      <w:proofErr w:type="spellStart"/>
      <w:r>
        <w:t>inc.</w:t>
      </w:r>
      <w:proofErr w:type="spellEnd"/>
      <w:r>
        <w:t xml:space="preserve"> where roles are advertised), etc.</w:t>
      </w:r>
    </w:p>
    <w:p w:rsidR="00D1110D" w:rsidRDefault="00D1110D" w:rsidP="00AC7373">
      <w:pPr>
        <w:pStyle w:val="NoSpacing"/>
      </w:pPr>
    </w:p>
    <w:p w:rsidR="0073741A" w:rsidRPr="00740CFA" w:rsidRDefault="0073741A" w:rsidP="0073741A">
      <w:pPr>
        <w:pStyle w:val="ListParagraph"/>
        <w:numPr>
          <w:ilvl w:val="0"/>
          <w:numId w:val="6"/>
        </w:numPr>
        <w:shd w:val="clear" w:color="auto" w:fill="D9E2F3" w:themeFill="accent5" w:themeFillTint="33"/>
        <w:rPr>
          <w:rFonts w:ascii="Calibri" w:eastAsiaTheme="majorEastAsia" w:hAnsi="Calibri" w:cstheme="majorBidi"/>
          <w:b/>
          <w:sz w:val="28"/>
          <w:szCs w:val="26"/>
        </w:rPr>
      </w:pPr>
      <w:r>
        <w:rPr>
          <w:rFonts w:ascii="Calibri" w:eastAsiaTheme="majorEastAsia" w:hAnsi="Calibri" w:cstheme="majorBidi"/>
          <w:b/>
          <w:color w:val="000000" w:themeColor="text1"/>
          <w:sz w:val="32"/>
          <w:szCs w:val="32"/>
        </w:rPr>
        <w:t xml:space="preserve">Recommendations </w:t>
      </w:r>
    </w:p>
    <w:p w:rsidR="00A14864" w:rsidRPr="0073741A" w:rsidRDefault="00EF38F7" w:rsidP="0073741A">
      <w:r>
        <w:t xml:space="preserve">The </w:t>
      </w:r>
      <w:r w:rsidRPr="0073741A">
        <w:t>Athena Swan Action Plan</w:t>
      </w:r>
      <w:r>
        <w:t xml:space="preserve"> (2022 – 2026) already sets out a number of actions to continue to address the Gender Pay Gap.  The</w:t>
      </w:r>
      <w:r w:rsidRPr="00EF38F7">
        <w:t xml:space="preserve"> </w:t>
      </w:r>
      <w:r w:rsidRPr="0073741A">
        <w:t>Race Equality Charter Action Plan</w:t>
      </w:r>
      <w:r>
        <w:t xml:space="preserve"> (2023 – 2027) will also be finalised over the coming months which will enable an intersectional approach </w:t>
      </w:r>
      <w:r w:rsidR="000758AB">
        <w:t>t</w:t>
      </w:r>
      <w:r>
        <w:t>o be taken</w:t>
      </w:r>
      <w:r w:rsidR="000758AB">
        <w:t xml:space="preserve"> to address the pay and bonus gap issues.  </w:t>
      </w:r>
      <w:r w:rsidR="004168F5">
        <w:t>As a proactive approach to</w:t>
      </w:r>
      <w:r>
        <w:t xml:space="preserve"> </w:t>
      </w:r>
      <w:r w:rsidR="004168F5">
        <w:t xml:space="preserve">mitigate risks against increasing pay gaps, </w:t>
      </w:r>
      <w:r w:rsidR="000758AB">
        <w:t xml:space="preserve">the </w:t>
      </w:r>
      <w:r w:rsidR="000758AB" w:rsidRPr="0073741A">
        <w:t>new</w:t>
      </w:r>
      <w:r w:rsidR="000758AB">
        <w:t>/proposed</w:t>
      </w:r>
      <w:r w:rsidR="000758AB" w:rsidRPr="0073741A">
        <w:t xml:space="preserve"> Equality Objectives </w:t>
      </w:r>
      <w:r w:rsidR="000758AB">
        <w:t xml:space="preserve">Action Plan (2022 – 2028) also includes a clear focus on this work.  Specific priority areas already identified where action will be taken over the next 12 months include: </w:t>
      </w:r>
    </w:p>
    <w:p w:rsidR="0073741A" w:rsidRPr="00AC7373" w:rsidRDefault="0073741A" w:rsidP="00AC7373">
      <w:pPr>
        <w:pStyle w:val="ListParagraph"/>
        <w:numPr>
          <w:ilvl w:val="0"/>
          <w:numId w:val="49"/>
        </w:numPr>
        <w:ind w:left="426"/>
        <w:rPr>
          <w:b/>
        </w:rPr>
      </w:pPr>
      <w:r w:rsidRPr="00AC7373">
        <w:rPr>
          <w:b/>
        </w:rPr>
        <w:t>Gender Pay Ga</w:t>
      </w:r>
      <w:r w:rsidR="00234F84" w:rsidRPr="00AC7373">
        <w:rPr>
          <w:b/>
        </w:rPr>
        <w:t>p</w:t>
      </w:r>
      <w:r w:rsidRPr="00AC7373">
        <w:rPr>
          <w:b/>
        </w:rPr>
        <w:t>:</w:t>
      </w:r>
    </w:p>
    <w:p w:rsidR="0073741A" w:rsidRDefault="0073741A" w:rsidP="00AC7373">
      <w:pPr>
        <w:pStyle w:val="ListParagraph"/>
        <w:ind w:left="426"/>
      </w:pPr>
      <w:r w:rsidRPr="0073741A">
        <w:t>Address imbalance of genders in Lower Grades</w:t>
      </w:r>
      <w:r w:rsidR="00234F84">
        <w:t xml:space="preserve"> and or </w:t>
      </w:r>
      <w:r w:rsidRPr="0073741A">
        <w:t>Manual</w:t>
      </w:r>
      <w:r w:rsidR="00234F84">
        <w:t xml:space="preserve"> and </w:t>
      </w:r>
      <w:r w:rsidRPr="0073741A">
        <w:t>Clerical</w:t>
      </w:r>
      <w:r w:rsidR="00234F84">
        <w:t xml:space="preserve"> roles</w:t>
      </w:r>
      <w:r w:rsidRPr="0073741A">
        <w:t xml:space="preserve"> (encourage more men into these roles)</w:t>
      </w:r>
      <w:r w:rsidR="00B3272F">
        <w:t>.</w:t>
      </w:r>
    </w:p>
    <w:p w:rsidR="0073741A" w:rsidRDefault="0073741A" w:rsidP="00AC7373">
      <w:pPr>
        <w:pStyle w:val="ListParagraph"/>
        <w:ind w:left="426"/>
      </w:pPr>
    </w:p>
    <w:p w:rsidR="0073741A" w:rsidRPr="0073741A" w:rsidRDefault="0073741A" w:rsidP="00AC7373">
      <w:pPr>
        <w:pStyle w:val="ListParagraph"/>
        <w:numPr>
          <w:ilvl w:val="0"/>
          <w:numId w:val="48"/>
        </w:numPr>
        <w:ind w:left="426"/>
        <w:rPr>
          <w:b/>
        </w:rPr>
      </w:pPr>
      <w:r w:rsidRPr="0073741A">
        <w:rPr>
          <w:b/>
        </w:rPr>
        <w:t>People of Colour</w:t>
      </w:r>
      <w:r w:rsidR="00234F84">
        <w:rPr>
          <w:b/>
        </w:rPr>
        <w:t xml:space="preserve"> (POC)</w:t>
      </w:r>
      <w:r w:rsidRPr="0073741A">
        <w:rPr>
          <w:b/>
        </w:rPr>
        <w:t xml:space="preserve"> Pay Gap:</w:t>
      </w:r>
    </w:p>
    <w:p w:rsidR="0073741A" w:rsidRDefault="0073741A" w:rsidP="00AC7373">
      <w:pPr>
        <w:pStyle w:val="ListParagraph"/>
        <w:ind w:left="426"/>
      </w:pPr>
      <w:r w:rsidRPr="0073741A">
        <w:t>Increase POC recruitment in higher paid grades</w:t>
      </w:r>
      <w:r w:rsidR="00234F84">
        <w:t xml:space="preserve">, as well as </w:t>
      </w:r>
      <w:r w:rsidRPr="0073741A">
        <w:t>lower grade</w:t>
      </w:r>
      <w:r w:rsidR="00234F84">
        <w:t xml:space="preserve"> roles including</w:t>
      </w:r>
      <w:r w:rsidRPr="0073741A">
        <w:t xml:space="preserve"> Manual </w:t>
      </w:r>
      <w:r w:rsidR="00234F84">
        <w:t xml:space="preserve">and </w:t>
      </w:r>
      <w:r w:rsidRPr="0073741A">
        <w:t xml:space="preserve">Clerical </w:t>
      </w:r>
      <w:r w:rsidR="00234F84">
        <w:t>positions.</w:t>
      </w:r>
    </w:p>
    <w:p w:rsidR="0073741A" w:rsidRPr="0073741A" w:rsidRDefault="0073741A" w:rsidP="00AC7373">
      <w:pPr>
        <w:pStyle w:val="ListParagraph"/>
        <w:ind w:left="426"/>
      </w:pPr>
    </w:p>
    <w:p w:rsidR="0073741A" w:rsidRPr="0073741A" w:rsidRDefault="0073741A" w:rsidP="00AC7373">
      <w:pPr>
        <w:pStyle w:val="ListParagraph"/>
        <w:numPr>
          <w:ilvl w:val="0"/>
          <w:numId w:val="48"/>
        </w:numPr>
        <w:ind w:left="426"/>
        <w:rPr>
          <w:b/>
        </w:rPr>
      </w:pPr>
      <w:r w:rsidRPr="0073741A">
        <w:rPr>
          <w:b/>
        </w:rPr>
        <w:t>Disability Pay Gap:</w:t>
      </w:r>
    </w:p>
    <w:p w:rsidR="0073741A" w:rsidRDefault="0073741A" w:rsidP="00AC7373">
      <w:pPr>
        <w:pStyle w:val="ListParagraph"/>
        <w:ind w:left="426"/>
      </w:pPr>
      <w:r w:rsidRPr="0073741A">
        <w:t>Increase disability disclosure</w:t>
      </w:r>
      <w:r w:rsidR="00234F84">
        <w:t xml:space="preserve">s and use Positive Action statements within </w:t>
      </w:r>
      <w:r w:rsidRPr="0073741A">
        <w:t xml:space="preserve">recruitment </w:t>
      </w:r>
      <w:r w:rsidR="00234F84">
        <w:t xml:space="preserve">processes/advertisements to encourage more disabled people to apply for </w:t>
      </w:r>
      <w:r w:rsidRPr="0073741A">
        <w:t>higher grade</w:t>
      </w:r>
      <w:r w:rsidR="00234F84">
        <w:t xml:space="preserve"> roles. </w:t>
      </w:r>
    </w:p>
    <w:p w:rsidR="0073741A" w:rsidRPr="0073741A" w:rsidRDefault="0073741A" w:rsidP="00AC7373">
      <w:pPr>
        <w:pStyle w:val="ListParagraph"/>
        <w:ind w:left="426"/>
      </w:pPr>
    </w:p>
    <w:p w:rsidR="0073741A" w:rsidRPr="0073741A" w:rsidRDefault="0073741A" w:rsidP="00AC7373">
      <w:pPr>
        <w:pStyle w:val="ListParagraph"/>
        <w:numPr>
          <w:ilvl w:val="0"/>
          <w:numId w:val="48"/>
        </w:numPr>
        <w:ind w:left="426"/>
        <w:rPr>
          <w:b/>
        </w:rPr>
      </w:pPr>
      <w:r w:rsidRPr="0073741A">
        <w:rPr>
          <w:b/>
        </w:rPr>
        <w:t>Sexual Orientation Pay Gap:</w:t>
      </w:r>
    </w:p>
    <w:p w:rsidR="00234F84" w:rsidRDefault="0073741A" w:rsidP="00AC7373">
      <w:pPr>
        <w:pStyle w:val="ListParagraph"/>
        <w:ind w:left="426"/>
      </w:pPr>
      <w:r w:rsidRPr="0073741A">
        <w:t xml:space="preserve">Increase sexual orientation disclosures </w:t>
      </w:r>
      <w:r w:rsidR="00234F84">
        <w:t xml:space="preserve">and use Positive Action statements within </w:t>
      </w:r>
      <w:r w:rsidR="00234F84" w:rsidRPr="0073741A">
        <w:t xml:space="preserve">recruitment </w:t>
      </w:r>
      <w:r w:rsidR="00234F84">
        <w:t xml:space="preserve">processes/advertisements to encourage more Lesbian, Gay, Bisexual, Other (LGBO) people to apply for roles within the University.  </w:t>
      </w:r>
    </w:p>
    <w:p w:rsidR="0073741A" w:rsidRDefault="0073741A" w:rsidP="00AC7373">
      <w:pPr>
        <w:pStyle w:val="ListParagraph"/>
        <w:ind w:left="426"/>
      </w:pPr>
    </w:p>
    <w:p w:rsidR="0073741A" w:rsidRPr="0073741A" w:rsidRDefault="0073741A" w:rsidP="00AC7373">
      <w:pPr>
        <w:pStyle w:val="ListParagraph"/>
        <w:numPr>
          <w:ilvl w:val="0"/>
          <w:numId w:val="48"/>
        </w:numPr>
        <w:ind w:left="426"/>
        <w:rPr>
          <w:b/>
        </w:rPr>
      </w:pPr>
      <w:r w:rsidRPr="0073741A">
        <w:rPr>
          <w:b/>
        </w:rPr>
        <w:t>Bonus Pay:</w:t>
      </w:r>
    </w:p>
    <w:p w:rsidR="007C4801" w:rsidRDefault="0073741A" w:rsidP="00AC7373">
      <w:pPr>
        <w:pStyle w:val="ListParagraph"/>
        <w:ind w:left="426"/>
      </w:pPr>
      <w:r w:rsidRPr="0073741A">
        <w:t>Review Bonus Pay Schemes for Non-Clinical Staff and Clinical Excellence Awards</w:t>
      </w:r>
      <w:r w:rsidR="00B3272F">
        <w:t>.</w:t>
      </w:r>
    </w:p>
    <w:p w:rsidR="00A64E88" w:rsidRDefault="00A64E88" w:rsidP="006F3BA8"/>
    <w:p w:rsidR="00D1110D" w:rsidRPr="00D1110D" w:rsidRDefault="00D1110D" w:rsidP="007C4801">
      <w:pPr>
        <w:pStyle w:val="ListParagraph"/>
        <w:numPr>
          <w:ilvl w:val="0"/>
          <w:numId w:val="6"/>
        </w:numPr>
        <w:shd w:val="clear" w:color="auto" w:fill="D9E2F3" w:themeFill="accent5" w:themeFillTint="33"/>
        <w:rPr>
          <w:rFonts w:ascii="Calibri" w:eastAsiaTheme="majorEastAsia" w:hAnsi="Calibri" w:cstheme="majorBidi"/>
          <w:b/>
          <w:color w:val="000000" w:themeColor="text1"/>
          <w:sz w:val="32"/>
          <w:szCs w:val="32"/>
        </w:rPr>
      </w:pPr>
      <w:r w:rsidRPr="00D1110D">
        <w:rPr>
          <w:rFonts w:ascii="Calibri" w:eastAsiaTheme="majorEastAsia" w:hAnsi="Calibri" w:cstheme="majorBidi"/>
          <w:b/>
          <w:color w:val="000000" w:themeColor="text1"/>
          <w:sz w:val="32"/>
          <w:szCs w:val="32"/>
        </w:rPr>
        <w:t>Glossary of Terms</w:t>
      </w:r>
    </w:p>
    <w:tbl>
      <w:tblPr>
        <w:tblStyle w:val="TableGrid"/>
        <w:tblW w:w="0" w:type="auto"/>
        <w:tblLook w:val="04A0" w:firstRow="1" w:lastRow="0" w:firstColumn="1" w:lastColumn="0" w:noHBand="0" w:noVBand="1"/>
        <w:tblCaption w:val="Glossary of Terms"/>
      </w:tblPr>
      <w:tblGrid>
        <w:gridCol w:w="3256"/>
        <w:gridCol w:w="5760"/>
      </w:tblGrid>
      <w:tr w:rsidR="00E07B79" w:rsidRPr="009C341B" w:rsidTr="00B162EE">
        <w:trPr>
          <w:tblHeader/>
        </w:trPr>
        <w:tc>
          <w:tcPr>
            <w:tcW w:w="3256" w:type="dxa"/>
            <w:shd w:val="clear" w:color="auto" w:fill="D9D9D9" w:themeFill="background1" w:themeFillShade="D9"/>
          </w:tcPr>
          <w:p w:rsidR="00E07B79" w:rsidRPr="009C341B" w:rsidRDefault="00E07B79" w:rsidP="009C341B">
            <w:pPr>
              <w:jc w:val="center"/>
              <w:rPr>
                <w:b/>
              </w:rPr>
            </w:pPr>
            <w:r w:rsidRPr="009C341B">
              <w:rPr>
                <w:b/>
              </w:rPr>
              <w:t>Term</w:t>
            </w:r>
          </w:p>
        </w:tc>
        <w:tc>
          <w:tcPr>
            <w:tcW w:w="5760" w:type="dxa"/>
            <w:shd w:val="clear" w:color="auto" w:fill="D9D9D9" w:themeFill="background1" w:themeFillShade="D9"/>
          </w:tcPr>
          <w:p w:rsidR="00E07B79" w:rsidRPr="009C341B" w:rsidRDefault="00E07B79" w:rsidP="009C341B">
            <w:pPr>
              <w:jc w:val="center"/>
              <w:rPr>
                <w:b/>
              </w:rPr>
            </w:pPr>
            <w:r w:rsidRPr="009C341B">
              <w:rPr>
                <w:b/>
              </w:rPr>
              <w:t>Definition</w:t>
            </w:r>
          </w:p>
        </w:tc>
      </w:tr>
      <w:tr w:rsidR="00E07B79" w:rsidTr="00B162EE">
        <w:tc>
          <w:tcPr>
            <w:tcW w:w="3256" w:type="dxa"/>
          </w:tcPr>
          <w:p w:rsidR="00E07B79" w:rsidRDefault="00E07B79" w:rsidP="00E75BB5">
            <w:r>
              <w:t>BAME+</w:t>
            </w:r>
          </w:p>
        </w:tc>
        <w:tc>
          <w:tcPr>
            <w:tcW w:w="5760" w:type="dxa"/>
          </w:tcPr>
          <w:p w:rsidR="00E07B79" w:rsidRDefault="00E07B79" w:rsidP="00E75BB5">
            <w:r>
              <w:t xml:space="preserve">Used to refer to all ethnic minority groups to compare against White British. BAME+ term includes </w:t>
            </w:r>
            <w:r w:rsidR="0020788C">
              <w:t xml:space="preserve">the </w:t>
            </w:r>
            <w:r>
              <w:t>white minority groups of White Irish, Gy</w:t>
            </w:r>
            <w:r w:rsidR="008C4BE1">
              <w:t>psy/T</w:t>
            </w:r>
            <w:r>
              <w:t>raveller, and White Other</w:t>
            </w:r>
            <w:r w:rsidR="003574CF">
              <w:t>,</w:t>
            </w:r>
            <w:r w:rsidR="0020788C">
              <w:t xml:space="preserve"> and Asian, Black, Mixed and </w:t>
            </w:r>
            <w:proofErr w:type="gramStart"/>
            <w:r w:rsidR="0020788C">
              <w:t>Other</w:t>
            </w:r>
            <w:proofErr w:type="gramEnd"/>
            <w:r w:rsidR="0020788C">
              <w:t xml:space="preserve"> ethnic group.</w:t>
            </w:r>
          </w:p>
        </w:tc>
      </w:tr>
      <w:tr w:rsidR="00B61E60" w:rsidTr="00B162EE">
        <w:tc>
          <w:tcPr>
            <w:tcW w:w="3256" w:type="dxa"/>
          </w:tcPr>
          <w:p w:rsidR="00B61E60" w:rsidRDefault="00705F4B" w:rsidP="00E75BB5">
            <w:r>
              <w:t xml:space="preserve">Baseline </w:t>
            </w:r>
            <w:r w:rsidR="0049360E">
              <w:t>G</w:t>
            </w:r>
            <w:r>
              <w:t>roup</w:t>
            </w:r>
          </w:p>
        </w:tc>
        <w:tc>
          <w:tcPr>
            <w:tcW w:w="5760" w:type="dxa"/>
          </w:tcPr>
          <w:p w:rsidR="00B61E60" w:rsidRDefault="00705F4B" w:rsidP="00E75BB5">
            <w:r>
              <w:t>For the purpose of this report, baseline groups refer to groups often classe</w:t>
            </w:r>
            <w:r w:rsidR="001E7382">
              <w:t>d</w:t>
            </w:r>
            <w:r>
              <w:t xml:space="preserve"> as </w:t>
            </w:r>
            <w:r w:rsidR="001E7382">
              <w:t xml:space="preserve">being </w:t>
            </w:r>
            <w:r>
              <w:t>the majority</w:t>
            </w:r>
            <w:r w:rsidR="00B3272F">
              <w:t>:</w:t>
            </w:r>
            <w:r>
              <w:t xml:space="preserve"> </w:t>
            </w:r>
          </w:p>
          <w:p w:rsidR="00705F4B" w:rsidRDefault="00705F4B" w:rsidP="00705F4B">
            <w:pPr>
              <w:pStyle w:val="ListParagraph"/>
              <w:numPr>
                <w:ilvl w:val="0"/>
                <w:numId w:val="41"/>
              </w:numPr>
              <w:ind w:left="316" w:hanging="284"/>
            </w:pPr>
            <w:r>
              <w:t>Gender baseline = Men</w:t>
            </w:r>
          </w:p>
          <w:p w:rsidR="00705F4B" w:rsidRDefault="00705F4B" w:rsidP="00705F4B">
            <w:pPr>
              <w:pStyle w:val="ListParagraph"/>
              <w:numPr>
                <w:ilvl w:val="0"/>
                <w:numId w:val="41"/>
              </w:numPr>
              <w:ind w:left="316" w:hanging="284"/>
            </w:pPr>
            <w:r>
              <w:t xml:space="preserve">Disability baseline = Non-disabled/no known disabilities </w:t>
            </w:r>
          </w:p>
          <w:p w:rsidR="00705F4B" w:rsidRDefault="00705F4B" w:rsidP="00705F4B">
            <w:pPr>
              <w:pStyle w:val="ListParagraph"/>
              <w:numPr>
                <w:ilvl w:val="0"/>
                <w:numId w:val="41"/>
              </w:numPr>
              <w:ind w:left="316" w:hanging="284"/>
            </w:pPr>
            <w:r>
              <w:t xml:space="preserve">Sexual orientation baseline = Heterosexual </w:t>
            </w:r>
          </w:p>
          <w:p w:rsidR="00705F4B" w:rsidRDefault="00705F4B" w:rsidP="00705F4B">
            <w:pPr>
              <w:pStyle w:val="ListParagraph"/>
              <w:numPr>
                <w:ilvl w:val="0"/>
                <w:numId w:val="41"/>
              </w:numPr>
              <w:ind w:left="316" w:hanging="284"/>
            </w:pPr>
            <w:r>
              <w:t>BAME+ baseline = White British</w:t>
            </w:r>
          </w:p>
          <w:p w:rsidR="00705F4B" w:rsidRDefault="00705F4B" w:rsidP="00705F4B">
            <w:pPr>
              <w:pStyle w:val="ListParagraph"/>
              <w:numPr>
                <w:ilvl w:val="0"/>
                <w:numId w:val="41"/>
              </w:numPr>
              <w:ind w:left="316" w:hanging="284"/>
            </w:pPr>
            <w:r>
              <w:t>People of Colour baseline = White</w:t>
            </w:r>
          </w:p>
          <w:p w:rsidR="00705F4B" w:rsidRPr="00AC7373" w:rsidRDefault="00705F4B" w:rsidP="00705F4B">
            <w:pPr>
              <w:rPr>
                <w:sz w:val="10"/>
                <w:szCs w:val="10"/>
              </w:rPr>
            </w:pPr>
          </w:p>
        </w:tc>
      </w:tr>
      <w:tr w:rsidR="00E07B79" w:rsidTr="00B162EE">
        <w:tc>
          <w:tcPr>
            <w:tcW w:w="3256" w:type="dxa"/>
          </w:tcPr>
          <w:p w:rsidR="00E07B79" w:rsidRDefault="00E07B79" w:rsidP="00E75BB5">
            <w:r>
              <w:t>Clinical Excellence Award (CEA)</w:t>
            </w:r>
          </w:p>
        </w:tc>
        <w:tc>
          <w:tcPr>
            <w:tcW w:w="5760" w:type="dxa"/>
          </w:tcPr>
          <w:p w:rsidR="00E07B79" w:rsidRPr="00B162EE" w:rsidRDefault="00E07B79" w:rsidP="00B162EE">
            <w:proofErr w:type="gramStart"/>
            <w:r>
              <w:t>A</w:t>
            </w:r>
            <w:proofErr w:type="gramEnd"/>
            <w:r>
              <w:t xml:space="preserve"> NHS bonus payment scheme for eligible clinical staff. Administered via the University’s payroll scheme but determined by the NHS.</w:t>
            </w:r>
          </w:p>
        </w:tc>
      </w:tr>
      <w:tr w:rsidR="00E07B79" w:rsidTr="00B162EE">
        <w:tc>
          <w:tcPr>
            <w:tcW w:w="3256" w:type="dxa"/>
          </w:tcPr>
          <w:p w:rsidR="00E07B79" w:rsidRDefault="00E07B79" w:rsidP="00E75BB5">
            <w:r>
              <w:t>Disabled</w:t>
            </w:r>
          </w:p>
        </w:tc>
        <w:tc>
          <w:tcPr>
            <w:tcW w:w="5760" w:type="dxa"/>
          </w:tcPr>
          <w:p w:rsidR="00E07B79" w:rsidRDefault="00E07B79" w:rsidP="00851205">
            <w:r>
              <w:t>Indicates that a person has disclosed that they have a disability (as defined by the Equality Act 2010) to the University and that this has been recorded in their COREHR record.</w:t>
            </w:r>
          </w:p>
        </w:tc>
      </w:tr>
      <w:tr w:rsidR="00E07B79" w:rsidTr="00B162EE">
        <w:tc>
          <w:tcPr>
            <w:tcW w:w="3256" w:type="dxa"/>
          </w:tcPr>
          <w:p w:rsidR="00E07B79" w:rsidRDefault="00E07B79" w:rsidP="00E75BB5">
            <w:r>
              <w:t>Exceptional Performance Award (EAP)</w:t>
            </w:r>
          </w:p>
        </w:tc>
        <w:tc>
          <w:tcPr>
            <w:tcW w:w="5760" w:type="dxa"/>
          </w:tcPr>
          <w:p w:rsidR="00E07B79" w:rsidRPr="00B162EE" w:rsidRDefault="00E07B79" w:rsidP="00B162EE">
            <w:r>
              <w:t>The University’s annual bonus pay scheme open to all employees, valued at a flat rate of £1500.</w:t>
            </w:r>
          </w:p>
        </w:tc>
      </w:tr>
      <w:tr w:rsidR="00E07B79" w:rsidTr="00B162EE">
        <w:tc>
          <w:tcPr>
            <w:tcW w:w="3256" w:type="dxa"/>
          </w:tcPr>
          <w:p w:rsidR="00E07B79" w:rsidRDefault="00E07B79" w:rsidP="00E75BB5">
            <w:r>
              <w:t>Female</w:t>
            </w:r>
          </w:p>
        </w:tc>
        <w:tc>
          <w:tcPr>
            <w:tcW w:w="5760" w:type="dxa"/>
          </w:tcPr>
          <w:p w:rsidR="00E07B79" w:rsidRDefault="00E07B79" w:rsidP="00B162EE">
            <w:r w:rsidRPr="00B162EE">
              <w:t xml:space="preserve">Used to refer to employees recorded as </w:t>
            </w:r>
            <w:r>
              <w:t>Female</w:t>
            </w:r>
            <w:r w:rsidRPr="00B162EE">
              <w:t xml:space="preserve"> in the COREHR record.</w:t>
            </w:r>
            <w:r w:rsidR="0020788C">
              <w:t xml:space="preserve"> Female is a sex category as defined by the Equality Act 2010. A Gender Pay Gap is calculated between the sex categories of male v female.</w:t>
            </w:r>
          </w:p>
        </w:tc>
      </w:tr>
      <w:tr w:rsidR="0020788C" w:rsidTr="00B162EE">
        <w:tc>
          <w:tcPr>
            <w:tcW w:w="3256" w:type="dxa"/>
          </w:tcPr>
          <w:p w:rsidR="0020788C" w:rsidRDefault="0020788C" w:rsidP="00E75BB5">
            <w:r>
              <w:t>Full Pay Relevant Employee (FPRE)</w:t>
            </w:r>
          </w:p>
        </w:tc>
        <w:tc>
          <w:tcPr>
            <w:tcW w:w="5760" w:type="dxa"/>
          </w:tcPr>
          <w:p w:rsidR="0020788C" w:rsidRDefault="0020788C" w:rsidP="00E75BB5">
            <w:r>
              <w:t>A pay record that is included in the statutory pay gap calculation (excluding bonus). A</w:t>
            </w:r>
            <w:r w:rsidR="00BE7D4D">
              <w:t>n</w:t>
            </w:r>
            <w:r>
              <w:t xml:space="preserve"> employee is full pay if they are receiving 100% of their hourly pay, that is to say they are not receiving less than 100% of pay because of deductions, such as when receiving the lower rate of Statutory Maternity Pay, Sick Pay; deductions due to Strike Action; or because they did not work/received £0 in the census period.</w:t>
            </w:r>
          </w:p>
        </w:tc>
      </w:tr>
      <w:tr w:rsidR="00E07B79" w:rsidTr="00B162EE">
        <w:tc>
          <w:tcPr>
            <w:tcW w:w="3256" w:type="dxa"/>
          </w:tcPr>
          <w:p w:rsidR="00E07B79" w:rsidRDefault="00E07B79" w:rsidP="00E75BB5">
            <w:r>
              <w:t>Heterosexual</w:t>
            </w:r>
          </w:p>
        </w:tc>
        <w:tc>
          <w:tcPr>
            <w:tcW w:w="5760" w:type="dxa"/>
          </w:tcPr>
          <w:p w:rsidR="00E07B79" w:rsidRDefault="00E07B79" w:rsidP="00E75BB5">
            <w:r>
              <w:t xml:space="preserve">A sexual orientation category also referred to as straight. Used when comparing against </w:t>
            </w:r>
            <w:r w:rsidR="009B5FDA">
              <w:t>LGBO</w:t>
            </w:r>
            <w:r>
              <w:t>.</w:t>
            </w:r>
          </w:p>
        </w:tc>
      </w:tr>
      <w:tr w:rsidR="006528B7" w:rsidTr="00B162EE">
        <w:tc>
          <w:tcPr>
            <w:tcW w:w="3256" w:type="dxa"/>
          </w:tcPr>
          <w:p w:rsidR="006528B7" w:rsidRDefault="006528B7" w:rsidP="00E75BB5">
            <w:r>
              <w:t>Horizontal Segregation</w:t>
            </w:r>
          </w:p>
        </w:tc>
        <w:tc>
          <w:tcPr>
            <w:tcW w:w="5760" w:type="dxa"/>
          </w:tcPr>
          <w:p w:rsidR="006528B7" w:rsidRDefault="006528B7" w:rsidP="00E75BB5">
            <w:r>
              <w:t xml:space="preserve">Refers to the unequal distribution of a population group within job families/career pathways. More colloquially this can be thought of as “jobs for the boys” and “jobs for the girls”. </w:t>
            </w:r>
          </w:p>
        </w:tc>
      </w:tr>
      <w:tr w:rsidR="00E07B79" w:rsidTr="00B162EE">
        <w:tc>
          <w:tcPr>
            <w:tcW w:w="3256" w:type="dxa"/>
          </w:tcPr>
          <w:p w:rsidR="00E07B79" w:rsidRDefault="009B5FDA" w:rsidP="00E75BB5">
            <w:r>
              <w:t>LGBO</w:t>
            </w:r>
          </w:p>
        </w:tc>
        <w:tc>
          <w:tcPr>
            <w:tcW w:w="5760" w:type="dxa"/>
          </w:tcPr>
          <w:p w:rsidR="00E07B79" w:rsidRDefault="00E07B79" w:rsidP="00E75BB5">
            <w:r>
              <w:t>Used to collectively refer to Lesbian, Gay, Bisexual and Other sexualities. Used when comparing against Heterosexual.</w:t>
            </w:r>
          </w:p>
          <w:p w:rsidR="00AE7076" w:rsidRDefault="00AE7076" w:rsidP="00E75BB5"/>
        </w:tc>
      </w:tr>
      <w:tr w:rsidR="00E07B79" w:rsidTr="00B162EE">
        <w:tc>
          <w:tcPr>
            <w:tcW w:w="3256" w:type="dxa"/>
          </w:tcPr>
          <w:p w:rsidR="00E07B79" w:rsidRDefault="00E07B79" w:rsidP="00E75BB5">
            <w:r>
              <w:lastRenderedPageBreak/>
              <w:t>Male</w:t>
            </w:r>
          </w:p>
        </w:tc>
        <w:tc>
          <w:tcPr>
            <w:tcW w:w="5760" w:type="dxa"/>
          </w:tcPr>
          <w:p w:rsidR="00E07B79" w:rsidRDefault="00E07B79" w:rsidP="00E75BB5">
            <w:r>
              <w:t>Used to refer to employees recorded as Male in the COREHR record.</w:t>
            </w:r>
            <w:r w:rsidR="0020788C">
              <w:t xml:space="preserve"> Male</w:t>
            </w:r>
            <w:r w:rsidR="0020788C" w:rsidRPr="0020788C">
              <w:t xml:space="preserve"> is a sex category as defined by the Equality Act 2010. A Gender Pay Gap is calculated between the sex categories of male v female.</w:t>
            </w:r>
          </w:p>
        </w:tc>
      </w:tr>
      <w:tr w:rsidR="00E07B79" w:rsidTr="00B162EE">
        <w:tc>
          <w:tcPr>
            <w:tcW w:w="3256" w:type="dxa"/>
          </w:tcPr>
          <w:p w:rsidR="00E07B79" w:rsidRDefault="00E07B79" w:rsidP="00E75BB5">
            <w:r>
              <w:t>Mean</w:t>
            </w:r>
          </w:p>
        </w:tc>
        <w:tc>
          <w:tcPr>
            <w:tcW w:w="5760" w:type="dxa"/>
          </w:tcPr>
          <w:p w:rsidR="00E07B79" w:rsidRDefault="00E07B79" w:rsidP="00E75BB5">
            <w:r>
              <w:t xml:space="preserve">The pay gap calculation showing the difference between the average hourly pay of all female employees, compared to all male employees. Shown as a percentage. </w:t>
            </w:r>
          </w:p>
        </w:tc>
      </w:tr>
      <w:tr w:rsidR="00E07B79" w:rsidTr="00B162EE">
        <w:tc>
          <w:tcPr>
            <w:tcW w:w="3256" w:type="dxa"/>
          </w:tcPr>
          <w:p w:rsidR="00E07B79" w:rsidRDefault="00E07B79" w:rsidP="00E75BB5">
            <w:r>
              <w:t>Mean (Bonus)</w:t>
            </w:r>
          </w:p>
        </w:tc>
        <w:tc>
          <w:tcPr>
            <w:tcW w:w="5760" w:type="dxa"/>
          </w:tcPr>
          <w:p w:rsidR="00E07B79" w:rsidRDefault="00E07B79" w:rsidP="00851205">
            <w:r w:rsidRPr="00851205">
              <w:t xml:space="preserve">The pay gap calculation showing the difference between the average </w:t>
            </w:r>
            <w:r>
              <w:t>bonus</w:t>
            </w:r>
            <w:r w:rsidRPr="00851205">
              <w:t xml:space="preserve"> pay</w:t>
            </w:r>
            <w:r>
              <w:t xml:space="preserve"> received in a 12 month period</w:t>
            </w:r>
            <w:r w:rsidRPr="00851205">
              <w:t xml:space="preserve"> of all female employees</w:t>
            </w:r>
            <w:r>
              <w:t xml:space="preserve"> who received a bonus</w:t>
            </w:r>
            <w:r w:rsidRPr="00851205">
              <w:t>, compared to all male employees</w:t>
            </w:r>
            <w:r>
              <w:t xml:space="preserve"> who received a bonus.</w:t>
            </w:r>
            <w:r w:rsidRPr="00851205">
              <w:t xml:space="preserve"> Shown as a percentage.</w:t>
            </w:r>
          </w:p>
        </w:tc>
      </w:tr>
      <w:tr w:rsidR="00E07B79" w:rsidTr="00B162EE">
        <w:tc>
          <w:tcPr>
            <w:tcW w:w="3256" w:type="dxa"/>
          </w:tcPr>
          <w:p w:rsidR="00E07B79" w:rsidRDefault="00E07B79" w:rsidP="00E75BB5">
            <w:r>
              <w:t>Median</w:t>
            </w:r>
          </w:p>
        </w:tc>
        <w:tc>
          <w:tcPr>
            <w:tcW w:w="5760" w:type="dxa"/>
          </w:tcPr>
          <w:p w:rsidR="00E07B79" w:rsidRDefault="00E07B79" w:rsidP="00851205">
            <w:r w:rsidRPr="00851205">
              <w:t>The pay gap calculation sho</w:t>
            </w:r>
            <w:r>
              <w:t xml:space="preserve">wing the difference between the mid-point in the range of </w:t>
            </w:r>
            <w:r w:rsidRPr="00851205">
              <w:t>all female employees</w:t>
            </w:r>
            <w:r w:rsidR="007D385B">
              <w:t>’</w:t>
            </w:r>
            <w:r>
              <w:t xml:space="preserve"> pay</w:t>
            </w:r>
            <w:r w:rsidRPr="00851205">
              <w:t>, compared to all male employees</w:t>
            </w:r>
            <w:r w:rsidR="007D385B">
              <w:t>’</w:t>
            </w:r>
            <w:r>
              <w:t xml:space="preserve"> pay</w:t>
            </w:r>
            <w:r w:rsidRPr="00851205">
              <w:t>. Show</w:t>
            </w:r>
            <w:r>
              <w:t>n</w:t>
            </w:r>
            <w:r w:rsidRPr="00851205">
              <w:t xml:space="preserve"> as a percentage.</w:t>
            </w:r>
          </w:p>
        </w:tc>
      </w:tr>
      <w:tr w:rsidR="00E07B79" w:rsidTr="00B162EE">
        <w:tc>
          <w:tcPr>
            <w:tcW w:w="3256" w:type="dxa"/>
          </w:tcPr>
          <w:p w:rsidR="00E07B79" w:rsidRDefault="00E07B79" w:rsidP="00E75BB5">
            <w:r>
              <w:t>Median (Bonus)</w:t>
            </w:r>
          </w:p>
        </w:tc>
        <w:tc>
          <w:tcPr>
            <w:tcW w:w="5760" w:type="dxa"/>
          </w:tcPr>
          <w:p w:rsidR="00E07B79" w:rsidRDefault="00E07B79" w:rsidP="00A0355E">
            <w:r w:rsidRPr="00851205">
              <w:t>The pay gap calculation showing the dif</w:t>
            </w:r>
            <w:r>
              <w:t xml:space="preserve">ference between the </w:t>
            </w:r>
            <w:r w:rsidRPr="00851205">
              <w:t>mid-point in the range of all female employees</w:t>
            </w:r>
            <w:r w:rsidR="00A0355E">
              <w:t xml:space="preserve"> who received</w:t>
            </w:r>
            <w:r w:rsidRPr="00851205">
              <w:t xml:space="preserve"> </w:t>
            </w:r>
            <w:r>
              <w:t xml:space="preserve">bonus </w:t>
            </w:r>
            <w:r w:rsidRPr="00851205">
              <w:t xml:space="preserve">pay, compared to all male employees </w:t>
            </w:r>
            <w:r w:rsidR="00A0355E">
              <w:t xml:space="preserve">who received </w:t>
            </w:r>
            <w:r w:rsidR="007D385B">
              <w:t xml:space="preserve">bonus </w:t>
            </w:r>
            <w:r w:rsidRPr="00851205">
              <w:t>pay</w:t>
            </w:r>
            <w:r>
              <w:t xml:space="preserve"> within a 12 month period</w:t>
            </w:r>
            <w:r w:rsidRPr="00851205">
              <w:t>. Shown as a percentage.</w:t>
            </w:r>
          </w:p>
        </w:tc>
      </w:tr>
      <w:tr w:rsidR="00E07B79" w:rsidTr="00B162EE">
        <w:tc>
          <w:tcPr>
            <w:tcW w:w="3256" w:type="dxa"/>
          </w:tcPr>
          <w:p w:rsidR="00E07B79" w:rsidRDefault="00E07B79" w:rsidP="00E75BB5">
            <w:r>
              <w:t>No Disability</w:t>
            </w:r>
            <w:r w:rsidR="001E047C">
              <w:t xml:space="preserve"> / </w:t>
            </w:r>
            <w:r w:rsidR="00BE7D4D">
              <w:t>N</w:t>
            </w:r>
            <w:r w:rsidR="001E047C">
              <w:t>on-disabled</w:t>
            </w:r>
          </w:p>
        </w:tc>
        <w:tc>
          <w:tcPr>
            <w:tcW w:w="5760" w:type="dxa"/>
          </w:tcPr>
          <w:p w:rsidR="00E07B79" w:rsidRDefault="00E07B79" w:rsidP="00E75BB5">
            <w:r>
              <w:t>Used to collectively refer to No Known Disability, Unknown and ‘Decline to Indicate’ within the COREHR record.</w:t>
            </w:r>
          </w:p>
        </w:tc>
      </w:tr>
      <w:tr w:rsidR="00E07B79" w:rsidTr="00B162EE">
        <w:tc>
          <w:tcPr>
            <w:tcW w:w="3256" w:type="dxa"/>
          </w:tcPr>
          <w:p w:rsidR="00E07B79" w:rsidRDefault="00E07B79" w:rsidP="00E75BB5">
            <w:r>
              <w:t>People of Colour (POC)</w:t>
            </w:r>
          </w:p>
        </w:tc>
        <w:tc>
          <w:tcPr>
            <w:tcW w:w="5760" w:type="dxa"/>
          </w:tcPr>
          <w:p w:rsidR="00E07B79" w:rsidRDefault="00E07B79" w:rsidP="00E75BB5">
            <w:r>
              <w:t xml:space="preserve">Used to collectively refer to Asian, Black, </w:t>
            </w:r>
            <w:r w:rsidR="00010F92">
              <w:t>Mixed,</w:t>
            </w:r>
            <w:r>
              <w:t xml:space="preserve"> and Other Ethnic Minority groups when comparing to the collective </w:t>
            </w:r>
            <w:r w:rsidR="007D385B">
              <w:t xml:space="preserve">White </w:t>
            </w:r>
            <w:r>
              <w:t>population.</w:t>
            </w:r>
          </w:p>
        </w:tc>
      </w:tr>
      <w:tr w:rsidR="00E07B79" w:rsidTr="00B162EE">
        <w:tc>
          <w:tcPr>
            <w:tcW w:w="3256" w:type="dxa"/>
          </w:tcPr>
          <w:p w:rsidR="00E07B79" w:rsidRDefault="00E07B79" w:rsidP="00E75BB5">
            <w:r>
              <w:t>Quartile</w:t>
            </w:r>
          </w:p>
        </w:tc>
        <w:tc>
          <w:tcPr>
            <w:tcW w:w="5760" w:type="dxa"/>
          </w:tcPr>
          <w:p w:rsidR="00E07B79" w:rsidRDefault="00E07B79" w:rsidP="00E75BB5">
            <w:r>
              <w:t>One of 4 equal portions of the whole full pay relevant staff population</w:t>
            </w:r>
            <w:r w:rsidR="00CB1D6D">
              <w:t>, rank based on the hourly pay rate</w:t>
            </w:r>
            <w:r>
              <w:t xml:space="preserve"> (lowest to highest).</w:t>
            </w:r>
          </w:p>
        </w:tc>
      </w:tr>
      <w:tr w:rsidR="00FA6A20" w:rsidTr="00FA6A20">
        <w:tc>
          <w:tcPr>
            <w:tcW w:w="3256" w:type="dxa"/>
            <w:shd w:val="clear" w:color="auto" w:fill="auto"/>
          </w:tcPr>
          <w:p w:rsidR="00FA6A20" w:rsidRPr="00FA6A20" w:rsidRDefault="00FA6A20" w:rsidP="00FA6A20">
            <w:r w:rsidRPr="00FA6A20">
              <w:t>Salary Sacrifice</w:t>
            </w:r>
          </w:p>
          <w:p w:rsidR="00FA6A20" w:rsidRPr="00FA6A20" w:rsidRDefault="00FA6A20" w:rsidP="00FA6A20"/>
        </w:tc>
        <w:tc>
          <w:tcPr>
            <w:tcW w:w="5760" w:type="dxa"/>
            <w:shd w:val="clear" w:color="auto" w:fill="auto"/>
          </w:tcPr>
          <w:p w:rsidR="00FA6A20" w:rsidRPr="00FA6A20" w:rsidRDefault="00FA6A20" w:rsidP="000B49B5">
            <w:r w:rsidRPr="00FA6A20">
              <w:t xml:space="preserve">Salary sacrifice refers to </w:t>
            </w:r>
            <w:r>
              <w:t>payments taken out of an employee</w:t>
            </w:r>
            <w:r w:rsidR="007D385B">
              <w:t>’</w:t>
            </w:r>
            <w:r>
              <w:t>s pa</w:t>
            </w:r>
            <w:r w:rsidR="000B49B5">
              <w:t>y before tax is deducted. This includes pension contributions.</w:t>
            </w:r>
          </w:p>
        </w:tc>
      </w:tr>
      <w:tr w:rsidR="005E1743" w:rsidTr="00B162EE">
        <w:tc>
          <w:tcPr>
            <w:tcW w:w="3256" w:type="dxa"/>
          </w:tcPr>
          <w:p w:rsidR="005E1743" w:rsidRDefault="005E1743" w:rsidP="005E1743">
            <w:r>
              <w:t>Vertical Segregation</w:t>
            </w:r>
          </w:p>
          <w:p w:rsidR="005E1743" w:rsidRDefault="005E1743" w:rsidP="005E1743"/>
        </w:tc>
        <w:tc>
          <w:tcPr>
            <w:tcW w:w="5760" w:type="dxa"/>
          </w:tcPr>
          <w:p w:rsidR="005E1743" w:rsidRDefault="005E1743" w:rsidP="005E1743">
            <w:r>
              <w:t xml:space="preserve">Vertical segregation </w:t>
            </w:r>
            <w:r w:rsidR="006528B7">
              <w:t>refers to the unequal distribution of a population group within the pay grade structure, usually with a</w:t>
            </w:r>
            <w:r w:rsidR="00BE7D4D">
              <w:t>n</w:t>
            </w:r>
            <w:r w:rsidR="006528B7">
              <w:t xml:space="preserve"> increasing underrepresentation of that population group the higher up the scale. Other terms that represent a vertical segregation can include a “leaky pipeline” or a glass ceiling/glass floor.</w:t>
            </w:r>
          </w:p>
        </w:tc>
      </w:tr>
      <w:tr w:rsidR="00E07B79" w:rsidTr="00B162EE">
        <w:tc>
          <w:tcPr>
            <w:tcW w:w="3256" w:type="dxa"/>
          </w:tcPr>
          <w:p w:rsidR="00E07B79" w:rsidRDefault="00E07B79" w:rsidP="00E75BB5">
            <w:r>
              <w:t>White</w:t>
            </w:r>
          </w:p>
        </w:tc>
        <w:tc>
          <w:tcPr>
            <w:tcW w:w="5760" w:type="dxa"/>
          </w:tcPr>
          <w:p w:rsidR="00E07B79" w:rsidRDefault="00E07B79" w:rsidP="00E75BB5">
            <w:r>
              <w:t>Used to collectively refer to White British, White Irish, Gypsy/Traveller, and White Other when comparing against People of Colour.</w:t>
            </w:r>
          </w:p>
        </w:tc>
      </w:tr>
      <w:tr w:rsidR="00E07B79" w:rsidTr="00B162EE">
        <w:tc>
          <w:tcPr>
            <w:tcW w:w="3256" w:type="dxa"/>
          </w:tcPr>
          <w:p w:rsidR="00E07B79" w:rsidRDefault="00E07B79" w:rsidP="00E75BB5">
            <w:r>
              <w:t>White British</w:t>
            </w:r>
          </w:p>
        </w:tc>
        <w:tc>
          <w:tcPr>
            <w:tcW w:w="5760" w:type="dxa"/>
          </w:tcPr>
          <w:p w:rsidR="00E07B79" w:rsidRDefault="00CB1D6D" w:rsidP="00E75BB5">
            <w:r>
              <w:t>An</w:t>
            </w:r>
            <w:r w:rsidR="00E07B79">
              <w:t xml:space="preserve"> ethnic category referring to people who have disclosed that they are White British including English, Welsh, Scottish, </w:t>
            </w:r>
            <w:r>
              <w:t xml:space="preserve">and </w:t>
            </w:r>
            <w:r w:rsidR="00E07B79">
              <w:t>Northern Irish.</w:t>
            </w:r>
          </w:p>
        </w:tc>
      </w:tr>
    </w:tbl>
    <w:p w:rsidR="00E318CC" w:rsidRDefault="00E318CC"/>
    <w:sectPr w:rsidR="00E318CC" w:rsidSect="00204771">
      <w:footerReference w:type="default" r:id="rId24"/>
      <w:pgSz w:w="11906" w:h="16838"/>
      <w:pgMar w:top="993" w:right="1440" w:bottom="1276"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E6706" w16cex:dateUtc="2021-11-16T17: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1437" w:rsidRDefault="00D41437" w:rsidP="008D455D">
      <w:pPr>
        <w:spacing w:after="0" w:line="240" w:lineRule="auto"/>
      </w:pPr>
      <w:r>
        <w:separator/>
      </w:r>
    </w:p>
  </w:endnote>
  <w:endnote w:type="continuationSeparator" w:id="0">
    <w:p w:rsidR="00D41437" w:rsidRDefault="00D41437" w:rsidP="008D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381432"/>
      <w:docPartObj>
        <w:docPartGallery w:val="Page Numbers (Bottom of Page)"/>
        <w:docPartUnique/>
      </w:docPartObj>
    </w:sdtPr>
    <w:sdtEndPr>
      <w:rPr>
        <w:noProof/>
      </w:rPr>
    </w:sdtEndPr>
    <w:sdtContent>
      <w:p w:rsidR="00D41437" w:rsidRDefault="00D41437">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D41437" w:rsidRDefault="00D41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1437" w:rsidRDefault="00D41437" w:rsidP="008D455D">
      <w:pPr>
        <w:spacing w:after="0" w:line="240" w:lineRule="auto"/>
      </w:pPr>
      <w:r>
        <w:separator/>
      </w:r>
    </w:p>
  </w:footnote>
  <w:footnote w:type="continuationSeparator" w:id="0">
    <w:p w:rsidR="00D41437" w:rsidRDefault="00D41437" w:rsidP="008D45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0.75pt;height:34.5pt;visibility:visible;mso-wrap-style:square" o:bullet="t">
        <v:imagedata r:id="rId1" o:title=""/>
      </v:shape>
    </w:pict>
  </w:numPicBullet>
  <w:abstractNum w:abstractNumId="0" w15:restartNumberingAfterBreak="0">
    <w:nsid w:val="03F873C9"/>
    <w:multiLevelType w:val="hybridMultilevel"/>
    <w:tmpl w:val="4E5CA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C54A6"/>
    <w:multiLevelType w:val="hybridMultilevel"/>
    <w:tmpl w:val="3E327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CB2F3F"/>
    <w:multiLevelType w:val="hybridMultilevel"/>
    <w:tmpl w:val="113A3D1C"/>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3" w15:restartNumberingAfterBreak="0">
    <w:nsid w:val="083C1DC8"/>
    <w:multiLevelType w:val="multilevel"/>
    <w:tmpl w:val="3F4004EC"/>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AFC0745"/>
    <w:multiLevelType w:val="hybridMultilevel"/>
    <w:tmpl w:val="DE922C6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9E21BF"/>
    <w:multiLevelType w:val="hybridMultilevel"/>
    <w:tmpl w:val="A918A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140C2A"/>
    <w:multiLevelType w:val="hybridMultilevel"/>
    <w:tmpl w:val="8A32230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86D4F"/>
    <w:multiLevelType w:val="hybridMultilevel"/>
    <w:tmpl w:val="7C44D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1D3A18"/>
    <w:multiLevelType w:val="hybridMultilevel"/>
    <w:tmpl w:val="014C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C5757C"/>
    <w:multiLevelType w:val="hybridMultilevel"/>
    <w:tmpl w:val="CCE85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3E2F3A"/>
    <w:multiLevelType w:val="hybridMultilevel"/>
    <w:tmpl w:val="F538E5E6"/>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11" w15:restartNumberingAfterBreak="0">
    <w:nsid w:val="1CAB728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E10869"/>
    <w:multiLevelType w:val="hybridMultilevel"/>
    <w:tmpl w:val="91EC7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0235F6"/>
    <w:multiLevelType w:val="multilevel"/>
    <w:tmpl w:val="291A21F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5F2E66"/>
    <w:multiLevelType w:val="hybridMultilevel"/>
    <w:tmpl w:val="73E48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82454F"/>
    <w:multiLevelType w:val="hybridMultilevel"/>
    <w:tmpl w:val="DE922C6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93467DA"/>
    <w:multiLevelType w:val="hybridMultilevel"/>
    <w:tmpl w:val="ABF42868"/>
    <w:lvl w:ilvl="0" w:tplc="5A40D822">
      <w:start w:val="1"/>
      <w:numFmt w:val="lowerRoman"/>
      <w:lvlText w:val="%1."/>
      <w:lvlJc w:val="righ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B0769D9"/>
    <w:multiLevelType w:val="hybridMultilevel"/>
    <w:tmpl w:val="DE2E4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E22C78"/>
    <w:multiLevelType w:val="hybridMultilevel"/>
    <w:tmpl w:val="7FAE9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EC755C"/>
    <w:multiLevelType w:val="hybridMultilevel"/>
    <w:tmpl w:val="30BC2A5C"/>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50702FA"/>
    <w:multiLevelType w:val="hybridMultilevel"/>
    <w:tmpl w:val="B2AE4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B74FD3"/>
    <w:multiLevelType w:val="hybridMultilevel"/>
    <w:tmpl w:val="42341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A4009"/>
    <w:multiLevelType w:val="hybridMultilevel"/>
    <w:tmpl w:val="ACB64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4732C0"/>
    <w:multiLevelType w:val="hybridMultilevel"/>
    <w:tmpl w:val="38D23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CE4718"/>
    <w:multiLevelType w:val="hybridMultilevel"/>
    <w:tmpl w:val="6582B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FFF6482"/>
    <w:multiLevelType w:val="hybridMultilevel"/>
    <w:tmpl w:val="398AF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4455681"/>
    <w:multiLevelType w:val="hybridMultilevel"/>
    <w:tmpl w:val="B328AD06"/>
    <w:lvl w:ilvl="0" w:tplc="5218E014">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CA3C1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7652DD9"/>
    <w:multiLevelType w:val="hybridMultilevel"/>
    <w:tmpl w:val="1E505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F76882"/>
    <w:multiLevelType w:val="hybridMultilevel"/>
    <w:tmpl w:val="0A20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E2411B"/>
    <w:multiLevelType w:val="hybridMultilevel"/>
    <w:tmpl w:val="EBC22A6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31" w15:restartNumberingAfterBreak="0">
    <w:nsid w:val="547D77D7"/>
    <w:multiLevelType w:val="hybridMultilevel"/>
    <w:tmpl w:val="ECBEC494"/>
    <w:lvl w:ilvl="0" w:tplc="0809001B">
      <w:start w:val="1"/>
      <w:numFmt w:val="lowerRoman"/>
      <w:lvlText w:val="%1."/>
      <w:lvlJc w:val="righ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AD2CE8"/>
    <w:multiLevelType w:val="hybridMultilevel"/>
    <w:tmpl w:val="F74EE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6977CF"/>
    <w:multiLevelType w:val="multilevel"/>
    <w:tmpl w:val="5D7CCCCC"/>
    <w:lvl w:ilvl="0">
      <w:start w:val="8"/>
      <w:numFmt w:val="decimal"/>
      <w:lvlText w:val="%1"/>
      <w:lvlJc w:val="left"/>
      <w:pPr>
        <w:ind w:left="360" w:hanging="360"/>
      </w:pPr>
      <w:rPr>
        <w:rFonts w:asciiTheme="minorHAnsi" w:eastAsiaTheme="minorHAnsi" w:hAnsiTheme="minorHAnsi" w:cstheme="minorBidi" w:hint="default"/>
        <w:b w:val="0"/>
        <w:sz w:val="24"/>
      </w:rPr>
    </w:lvl>
    <w:lvl w:ilvl="1">
      <w:start w:val="1"/>
      <w:numFmt w:val="decimal"/>
      <w:lvlText w:val="%1.%2"/>
      <w:lvlJc w:val="left"/>
      <w:pPr>
        <w:ind w:left="360" w:hanging="360"/>
      </w:pPr>
      <w:rPr>
        <w:rFonts w:asciiTheme="minorHAnsi" w:eastAsiaTheme="minorHAnsi" w:hAnsiTheme="minorHAnsi" w:cstheme="minorBidi" w:hint="default"/>
        <w:b/>
        <w:sz w:val="24"/>
      </w:rPr>
    </w:lvl>
    <w:lvl w:ilvl="2">
      <w:start w:val="1"/>
      <w:numFmt w:val="decimal"/>
      <w:lvlText w:val="%1.%2.%3"/>
      <w:lvlJc w:val="left"/>
      <w:pPr>
        <w:ind w:left="720" w:hanging="720"/>
      </w:pPr>
      <w:rPr>
        <w:rFonts w:asciiTheme="minorHAnsi" w:eastAsiaTheme="minorHAnsi" w:hAnsiTheme="minorHAnsi" w:cstheme="minorBidi" w:hint="default"/>
        <w:b w:val="0"/>
        <w:sz w:val="24"/>
      </w:rPr>
    </w:lvl>
    <w:lvl w:ilvl="3">
      <w:start w:val="1"/>
      <w:numFmt w:val="decimal"/>
      <w:lvlText w:val="%1.%2.%3.%4"/>
      <w:lvlJc w:val="left"/>
      <w:pPr>
        <w:ind w:left="1080" w:hanging="1080"/>
      </w:pPr>
      <w:rPr>
        <w:rFonts w:asciiTheme="minorHAnsi" w:eastAsiaTheme="minorHAnsi" w:hAnsiTheme="minorHAnsi" w:cstheme="minorBidi" w:hint="default"/>
        <w:b w:val="0"/>
        <w:sz w:val="24"/>
      </w:rPr>
    </w:lvl>
    <w:lvl w:ilvl="4">
      <w:start w:val="1"/>
      <w:numFmt w:val="decimal"/>
      <w:lvlText w:val="%1.%2.%3.%4.%5"/>
      <w:lvlJc w:val="left"/>
      <w:pPr>
        <w:ind w:left="1080" w:hanging="1080"/>
      </w:pPr>
      <w:rPr>
        <w:rFonts w:asciiTheme="minorHAnsi" w:eastAsiaTheme="minorHAnsi" w:hAnsiTheme="minorHAnsi" w:cstheme="minorBidi" w:hint="default"/>
        <w:b w:val="0"/>
        <w:sz w:val="24"/>
      </w:rPr>
    </w:lvl>
    <w:lvl w:ilvl="5">
      <w:start w:val="1"/>
      <w:numFmt w:val="decimal"/>
      <w:lvlText w:val="%1.%2.%3.%4.%5.%6"/>
      <w:lvlJc w:val="left"/>
      <w:pPr>
        <w:ind w:left="1440" w:hanging="1440"/>
      </w:pPr>
      <w:rPr>
        <w:rFonts w:asciiTheme="minorHAnsi" w:eastAsiaTheme="minorHAnsi" w:hAnsiTheme="minorHAnsi" w:cstheme="minorBidi" w:hint="default"/>
        <w:b w:val="0"/>
        <w:sz w:val="24"/>
      </w:rPr>
    </w:lvl>
    <w:lvl w:ilvl="6">
      <w:start w:val="1"/>
      <w:numFmt w:val="decimal"/>
      <w:lvlText w:val="%1.%2.%3.%4.%5.%6.%7"/>
      <w:lvlJc w:val="left"/>
      <w:pPr>
        <w:ind w:left="1440" w:hanging="1440"/>
      </w:pPr>
      <w:rPr>
        <w:rFonts w:asciiTheme="minorHAnsi" w:eastAsiaTheme="minorHAnsi" w:hAnsiTheme="minorHAnsi" w:cstheme="minorBidi" w:hint="default"/>
        <w:b w:val="0"/>
        <w:sz w:val="24"/>
      </w:rPr>
    </w:lvl>
    <w:lvl w:ilvl="7">
      <w:start w:val="1"/>
      <w:numFmt w:val="decimal"/>
      <w:lvlText w:val="%1.%2.%3.%4.%5.%6.%7.%8"/>
      <w:lvlJc w:val="left"/>
      <w:pPr>
        <w:ind w:left="1800" w:hanging="1800"/>
      </w:pPr>
      <w:rPr>
        <w:rFonts w:asciiTheme="minorHAnsi" w:eastAsiaTheme="minorHAnsi" w:hAnsiTheme="minorHAnsi" w:cstheme="minorBidi" w:hint="default"/>
        <w:b w:val="0"/>
        <w:sz w:val="24"/>
      </w:rPr>
    </w:lvl>
    <w:lvl w:ilvl="8">
      <w:start w:val="1"/>
      <w:numFmt w:val="decimal"/>
      <w:lvlText w:val="%1.%2.%3.%4.%5.%6.%7.%8.%9"/>
      <w:lvlJc w:val="left"/>
      <w:pPr>
        <w:ind w:left="2160" w:hanging="2160"/>
      </w:pPr>
      <w:rPr>
        <w:rFonts w:asciiTheme="minorHAnsi" w:eastAsiaTheme="minorHAnsi" w:hAnsiTheme="minorHAnsi" w:cstheme="minorBidi" w:hint="default"/>
        <w:b w:val="0"/>
        <w:sz w:val="24"/>
      </w:rPr>
    </w:lvl>
  </w:abstractNum>
  <w:abstractNum w:abstractNumId="34" w15:restartNumberingAfterBreak="0">
    <w:nsid w:val="596D745C"/>
    <w:multiLevelType w:val="hybridMultilevel"/>
    <w:tmpl w:val="AB2894AC"/>
    <w:lvl w:ilvl="0" w:tplc="E26C0F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9723576"/>
    <w:multiLevelType w:val="hybridMultilevel"/>
    <w:tmpl w:val="78B0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C63629"/>
    <w:multiLevelType w:val="hybridMultilevel"/>
    <w:tmpl w:val="EC7AAC0C"/>
    <w:lvl w:ilvl="0" w:tplc="3C084DA2">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C0B56E9"/>
    <w:multiLevelType w:val="multilevel"/>
    <w:tmpl w:val="6A8E2BEC"/>
    <w:lvl w:ilvl="0">
      <w:start w:val="1"/>
      <w:numFmt w:val="decimal"/>
      <w:pStyle w:val="NumberedHeading"/>
      <w:lvlText w:val="%1."/>
      <w:lvlJc w:val="left"/>
      <w:pPr>
        <w:ind w:left="720" w:hanging="360"/>
      </w:pPr>
    </w:lvl>
    <w:lvl w:ilvl="1">
      <w:start w:val="1"/>
      <w:numFmt w:val="decimal"/>
      <w:pStyle w:val="TextunderNumbered"/>
      <w:isLgl/>
      <w:lvlText w:val="%1.%2"/>
      <w:lvlJc w:val="left"/>
      <w:pPr>
        <w:ind w:left="862" w:hanging="720"/>
      </w:pPr>
      <w:rPr>
        <w:b w:val="0"/>
      </w:rPr>
    </w:lvl>
    <w:lvl w:ilvl="2">
      <w:start w:val="1"/>
      <w:numFmt w:val="decimal"/>
      <w:pStyle w:val="NumberIndented"/>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8" w15:restartNumberingAfterBreak="0">
    <w:nsid w:val="5D206665"/>
    <w:multiLevelType w:val="hybridMultilevel"/>
    <w:tmpl w:val="DE922C6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5FD82884"/>
    <w:multiLevelType w:val="hybridMultilevel"/>
    <w:tmpl w:val="223E15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0" w15:restartNumberingAfterBreak="0">
    <w:nsid w:val="61C752D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38F2F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4150EF"/>
    <w:multiLevelType w:val="hybridMultilevel"/>
    <w:tmpl w:val="4782A08E"/>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3" w15:restartNumberingAfterBreak="0">
    <w:nsid w:val="71E80FE8"/>
    <w:multiLevelType w:val="multilevel"/>
    <w:tmpl w:val="BB6E1A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72173C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9461D3"/>
    <w:multiLevelType w:val="hybridMultilevel"/>
    <w:tmpl w:val="674E7B18"/>
    <w:lvl w:ilvl="0" w:tplc="D8ACD68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32941BF"/>
    <w:multiLevelType w:val="hybridMultilevel"/>
    <w:tmpl w:val="6696F776"/>
    <w:lvl w:ilvl="0" w:tplc="10BEB104">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5D662B1"/>
    <w:multiLevelType w:val="hybridMultilevel"/>
    <w:tmpl w:val="30BC2A5C"/>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B511CCB"/>
    <w:multiLevelType w:val="hybridMultilevel"/>
    <w:tmpl w:val="E990D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46"/>
  </w:num>
  <w:num w:numId="4">
    <w:abstractNumId w:val="26"/>
  </w:num>
  <w:num w:numId="5">
    <w:abstractNumId w:val="36"/>
  </w:num>
  <w:num w:numId="6">
    <w:abstractNumId w:val="40"/>
  </w:num>
  <w:num w:numId="7">
    <w:abstractNumId w:val="4"/>
  </w:num>
  <w:num w:numId="8">
    <w:abstractNumId w:val="47"/>
  </w:num>
  <w:num w:numId="9">
    <w:abstractNumId w:val="15"/>
  </w:num>
  <w:num w:numId="10">
    <w:abstractNumId w:val="31"/>
  </w:num>
  <w:num w:numId="11">
    <w:abstractNumId w:val="38"/>
  </w:num>
  <w:num w:numId="12">
    <w:abstractNumId w:val="14"/>
  </w:num>
  <w:num w:numId="13">
    <w:abstractNumId w:val="19"/>
  </w:num>
  <w:num w:numId="14">
    <w:abstractNumId w:val="16"/>
  </w:num>
  <w:num w:numId="15">
    <w:abstractNumId w:val="9"/>
  </w:num>
  <w:num w:numId="16">
    <w:abstractNumId w:val="21"/>
  </w:num>
  <w:num w:numId="17">
    <w:abstractNumId w:val="7"/>
  </w:num>
  <w:num w:numId="18">
    <w:abstractNumId w:val="17"/>
  </w:num>
  <w:num w:numId="19">
    <w:abstractNumId w:val="0"/>
  </w:num>
  <w:num w:numId="20">
    <w:abstractNumId w:val="1"/>
  </w:num>
  <w:num w:numId="21">
    <w:abstractNumId w:val="20"/>
  </w:num>
  <w:num w:numId="22">
    <w:abstractNumId w:val="35"/>
  </w:num>
  <w:num w:numId="23">
    <w:abstractNumId w:val="44"/>
  </w:num>
  <w:num w:numId="24">
    <w:abstractNumId w:val="32"/>
  </w:num>
  <w:num w:numId="25">
    <w:abstractNumId w:val="29"/>
  </w:num>
  <w:num w:numId="26">
    <w:abstractNumId w:val="25"/>
  </w:num>
  <w:num w:numId="27">
    <w:abstractNumId w:val="8"/>
  </w:num>
  <w:num w:numId="28">
    <w:abstractNumId w:val="5"/>
  </w:num>
  <w:num w:numId="29">
    <w:abstractNumId w:val="28"/>
  </w:num>
  <w:num w:numId="30">
    <w:abstractNumId w:val="18"/>
  </w:num>
  <w:num w:numId="31">
    <w:abstractNumId w:val="48"/>
  </w:num>
  <w:num w:numId="32">
    <w:abstractNumId w:val="42"/>
  </w:num>
  <w:num w:numId="33">
    <w:abstractNumId w:val="30"/>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27"/>
  </w:num>
  <w:num w:numId="37">
    <w:abstractNumId w:val="13"/>
  </w:num>
  <w:num w:numId="38">
    <w:abstractNumId w:val="2"/>
  </w:num>
  <w:num w:numId="39">
    <w:abstractNumId w:val="39"/>
  </w:num>
  <w:num w:numId="40">
    <w:abstractNumId w:val="45"/>
  </w:num>
  <w:num w:numId="41">
    <w:abstractNumId w:val="12"/>
  </w:num>
  <w:num w:numId="42">
    <w:abstractNumId w:val="41"/>
  </w:num>
  <w:num w:numId="43">
    <w:abstractNumId w:val="11"/>
  </w:num>
  <w:num w:numId="44">
    <w:abstractNumId w:val="43"/>
  </w:num>
  <w:num w:numId="45">
    <w:abstractNumId w:val="33"/>
  </w:num>
  <w:num w:numId="46">
    <w:abstractNumId w:val="10"/>
  </w:num>
  <w:num w:numId="47">
    <w:abstractNumId w:val="3"/>
  </w:num>
  <w:num w:numId="48">
    <w:abstractNumId w:val="23"/>
  </w:num>
  <w:num w:numId="49">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55D"/>
    <w:rsid w:val="0000025A"/>
    <w:rsid w:val="00003388"/>
    <w:rsid w:val="00010F92"/>
    <w:rsid w:val="0001620C"/>
    <w:rsid w:val="00016844"/>
    <w:rsid w:val="00020310"/>
    <w:rsid w:val="00020BA3"/>
    <w:rsid w:val="00020D24"/>
    <w:rsid w:val="00022545"/>
    <w:rsid w:val="00027F94"/>
    <w:rsid w:val="00030A41"/>
    <w:rsid w:val="00034B15"/>
    <w:rsid w:val="00041E3B"/>
    <w:rsid w:val="000447E9"/>
    <w:rsid w:val="000573B6"/>
    <w:rsid w:val="00057521"/>
    <w:rsid w:val="0006404D"/>
    <w:rsid w:val="000653AE"/>
    <w:rsid w:val="000660A8"/>
    <w:rsid w:val="0006777A"/>
    <w:rsid w:val="000707BE"/>
    <w:rsid w:val="000707C7"/>
    <w:rsid w:val="00072380"/>
    <w:rsid w:val="000758AB"/>
    <w:rsid w:val="00075F1E"/>
    <w:rsid w:val="00076DDC"/>
    <w:rsid w:val="00077AA6"/>
    <w:rsid w:val="00081875"/>
    <w:rsid w:val="00082AA0"/>
    <w:rsid w:val="000853F1"/>
    <w:rsid w:val="000905F1"/>
    <w:rsid w:val="00094963"/>
    <w:rsid w:val="000962A8"/>
    <w:rsid w:val="00096C1A"/>
    <w:rsid w:val="000975C3"/>
    <w:rsid w:val="000A030C"/>
    <w:rsid w:val="000B2DC9"/>
    <w:rsid w:val="000B3EB7"/>
    <w:rsid w:val="000B48DA"/>
    <w:rsid w:val="000B49B5"/>
    <w:rsid w:val="000B4B44"/>
    <w:rsid w:val="000B5DF7"/>
    <w:rsid w:val="000C132C"/>
    <w:rsid w:val="000C4CE7"/>
    <w:rsid w:val="000C61A2"/>
    <w:rsid w:val="000C690E"/>
    <w:rsid w:val="000D07AC"/>
    <w:rsid w:val="000D1516"/>
    <w:rsid w:val="000D7C27"/>
    <w:rsid w:val="000E25AF"/>
    <w:rsid w:val="000E7210"/>
    <w:rsid w:val="000F1DB2"/>
    <w:rsid w:val="000F3D51"/>
    <w:rsid w:val="000F419A"/>
    <w:rsid w:val="000F547F"/>
    <w:rsid w:val="000F6D00"/>
    <w:rsid w:val="000F7352"/>
    <w:rsid w:val="00100881"/>
    <w:rsid w:val="001014C6"/>
    <w:rsid w:val="00101C5C"/>
    <w:rsid w:val="00102D23"/>
    <w:rsid w:val="00105BFD"/>
    <w:rsid w:val="00106497"/>
    <w:rsid w:val="001109C6"/>
    <w:rsid w:val="001143DC"/>
    <w:rsid w:val="0012186C"/>
    <w:rsid w:val="001257D9"/>
    <w:rsid w:val="00132C17"/>
    <w:rsid w:val="00133913"/>
    <w:rsid w:val="00134BE2"/>
    <w:rsid w:val="00137BEB"/>
    <w:rsid w:val="00141EC8"/>
    <w:rsid w:val="00143216"/>
    <w:rsid w:val="00146606"/>
    <w:rsid w:val="00151BC8"/>
    <w:rsid w:val="00157E97"/>
    <w:rsid w:val="0016034D"/>
    <w:rsid w:val="00162CD3"/>
    <w:rsid w:val="00174C2E"/>
    <w:rsid w:val="00175076"/>
    <w:rsid w:val="001756D1"/>
    <w:rsid w:val="001776E8"/>
    <w:rsid w:val="00182A55"/>
    <w:rsid w:val="00184552"/>
    <w:rsid w:val="00186F59"/>
    <w:rsid w:val="00196104"/>
    <w:rsid w:val="0019784C"/>
    <w:rsid w:val="001A13E9"/>
    <w:rsid w:val="001A1DE3"/>
    <w:rsid w:val="001A4D12"/>
    <w:rsid w:val="001A6C97"/>
    <w:rsid w:val="001A6FC4"/>
    <w:rsid w:val="001A72B8"/>
    <w:rsid w:val="001B3BD9"/>
    <w:rsid w:val="001B5D7B"/>
    <w:rsid w:val="001B5F5D"/>
    <w:rsid w:val="001B66AE"/>
    <w:rsid w:val="001B79D5"/>
    <w:rsid w:val="001C1D35"/>
    <w:rsid w:val="001C1F44"/>
    <w:rsid w:val="001C4078"/>
    <w:rsid w:val="001C57F9"/>
    <w:rsid w:val="001C7EA9"/>
    <w:rsid w:val="001D0516"/>
    <w:rsid w:val="001D0546"/>
    <w:rsid w:val="001D1007"/>
    <w:rsid w:val="001D2C2D"/>
    <w:rsid w:val="001D35B7"/>
    <w:rsid w:val="001D6532"/>
    <w:rsid w:val="001E047C"/>
    <w:rsid w:val="001E17C7"/>
    <w:rsid w:val="001E1A04"/>
    <w:rsid w:val="001E6034"/>
    <w:rsid w:val="001E6217"/>
    <w:rsid w:val="001E6E14"/>
    <w:rsid w:val="001E7382"/>
    <w:rsid w:val="001E788F"/>
    <w:rsid w:val="001E7DCD"/>
    <w:rsid w:val="001F0B3B"/>
    <w:rsid w:val="001F0CDE"/>
    <w:rsid w:val="001F1D93"/>
    <w:rsid w:val="001F24EE"/>
    <w:rsid w:val="00200A8C"/>
    <w:rsid w:val="002016C8"/>
    <w:rsid w:val="00202E90"/>
    <w:rsid w:val="00203914"/>
    <w:rsid w:val="00204771"/>
    <w:rsid w:val="00204E57"/>
    <w:rsid w:val="002050BE"/>
    <w:rsid w:val="00206166"/>
    <w:rsid w:val="00206374"/>
    <w:rsid w:val="0020788C"/>
    <w:rsid w:val="00207B5D"/>
    <w:rsid w:val="00211E8A"/>
    <w:rsid w:val="002143A2"/>
    <w:rsid w:val="00222EDF"/>
    <w:rsid w:val="00224005"/>
    <w:rsid w:val="00234F84"/>
    <w:rsid w:val="002411C8"/>
    <w:rsid w:val="00242B82"/>
    <w:rsid w:val="002519E6"/>
    <w:rsid w:val="0025353B"/>
    <w:rsid w:val="0025406D"/>
    <w:rsid w:val="00254D5A"/>
    <w:rsid w:val="00256E00"/>
    <w:rsid w:val="00257113"/>
    <w:rsid w:val="00261001"/>
    <w:rsid w:val="00263617"/>
    <w:rsid w:val="002654C7"/>
    <w:rsid w:val="00267847"/>
    <w:rsid w:val="00276B36"/>
    <w:rsid w:val="00277A48"/>
    <w:rsid w:val="00284DB2"/>
    <w:rsid w:val="00284FA8"/>
    <w:rsid w:val="0028734C"/>
    <w:rsid w:val="00287DF4"/>
    <w:rsid w:val="00291345"/>
    <w:rsid w:val="00293E6D"/>
    <w:rsid w:val="00294B63"/>
    <w:rsid w:val="002954CF"/>
    <w:rsid w:val="00296265"/>
    <w:rsid w:val="002A1DF8"/>
    <w:rsid w:val="002A3147"/>
    <w:rsid w:val="002B0026"/>
    <w:rsid w:val="002B0327"/>
    <w:rsid w:val="002B177D"/>
    <w:rsid w:val="002B3EF1"/>
    <w:rsid w:val="002B57C2"/>
    <w:rsid w:val="002C1E76"/>
    <w:rsid w:val="002C26F6"/>
    <w:rsid w:val="002C7502"/>
    <w:rsid w:val="002D25EC"/>
    <w:rsid w:val="002D4621"/>
    <w:rsid w:val="002D5F88"/>
    <w:rsid w:val="002E3649"/>
    <w:rsid w:val="002F38AC"/>
    <w:rsid w:val="002F4CA1"/>
    <w:rsid w:val="002F5D5F"/>
    <w:rsid w:val="002F6B6B"/>
    <w:rsid w:val="002F7A07"/>
    <w:rsid w:val="0030131B"/>
    <w:rsid w:val="00302E46"/>
    <w:rsid w:val="003034DB"/>
    <w:rsid w:val="00303E2A"/>
    <w:rsid w:val="00306C4B"/>
    <w:rsid w:val="00307B21"/>
    <w:rsid w:val="003113CD"/>
    <w:rsid w:val="00312498"/>
    <w:rsid w:val="00314928"/>
    <w:rsid w:val="00316658"/>
    <w:rsid w:val="00317508"/>
    <w:rsid w:val="00317C50"/>
    <w:rsid w:val="00317D49"/>
    <w:rsid w:val="00320C03"/>
    <w:rsid w:val="00320C2E"/>
    <w:rsid w:val="00321DF7"/>
    <w:rsid w:val="00323E6D"/>
    <w:rsid w:val="00327C69"/>
    <w:rsid w:val="00333F13"/>
    <w:rsid w:val="00341940"/>
    <w:rsid w:val="00343693"/>
    <w:rsid w:val="0034489D"/>
    <w:rsid w:val="003501A2"/>
    <w:rsid w:val="0035688B"/>
    <w:rsid w:val="003574CF"/>
    <w:rsid w:val="00357BBF"/>
    <w:rsid w:val="00360814"/>
    <w:rsid w:val="00361712"/>
    <w:rsid w:val="00363FBC"/>
    <w:rsid w:val="00366380"/>
    <w:rsid w:val="00366E1F"/>
    <w:rsid w:val="00367F95"/>
    <w:rsid w:val="00370FBA"/>
    <w:rsid w:val="00371815"/>
    <w:rsid w:val="0037366D"/>
    <w:rsid w:val="00376F44"/>
    <w:rsid w:val="0038198D"/>
    <w:rsid w:val="00382940"/>
    <w:rsid w:val="00385D88"/>
    <w:rsid w:val="00391C98"/>
    <w:rsid w:val="00393ED3"/>
    <w:rsid w:val="003A0346"/>
    <w:rsid w:val="003A3AEA"/>
    <w:rsid w:val="003A48EC"/>
    <w:rsid w:val="003A4AD3"/>
    <w:rsid w:val="003A4DBF"/>
    <w:rsid w:val="003A6BBC"/>
    <w:rsid w:val="003A710B"/>
    <w:rsid w:val="003A7D3C"/>
    <w:rsid w:val="003B0A60"/>
    <w:rsid w:val="003B18F2"/>
    <w:rsid w:val="003B476E"/>
    <w:rsid w:val="003B6371"/>
    <w:rsid w:val="003C1C15"/>
    <w:rsid w:val="003C41D5"/>
    <w:rsid w:val="003C4C61"/>
    <w:rsid w:val="003C5520"/>
    <w:rsid w:val="003C6D9B"/>
    <w:rsid w:val="003D47F9"/>
    <w:rsid w:val="003D7349"/>
    <w:rsid w:val="003D751E"/>
    <w:rsid w:val="003E65B9"/>
    <w:rsid w:val="003F4407"/>
    <w:rsid w:val="003F53F1"/>
    <w:rsid w:val="003F7661"/>
    <w:rsid w:val="00405B74"/>
    <w:rsid w:val="004132D5"/>
    <w:rsid w:val="00416776"/>
    <w:rsid w:val="004168F5"/>
    <w:rsid w:val="004171FD"/>
    <w:rsid w:val="0041769E"/>
    <w:rsid w:val="0041777A"/>
    <w:rsid w:val="004204E1"/>
    <w:rsid w:val="004205C1"/>
    <w:rsid w:val="00422242"/>
    <w:rsid w:val="00422301"/>
    <w:rsid w:val="00423164"/>
    <w:rsid w:val="00427288"/>
    <w:rsid w:val="0043254D"/>
    <w:rsid w:val="0044036C"/>
    <w:rsid w:val="00440D2C"/>
    <w:rsid w:val="004431B8"/>
    <w:rsid w:val="004440BA"/>
    <w:rsid w:val="004507CB"/>
    <w:rsid w:val="004569EC"/>
    <w:rsid w:val="00457088"/>
    <w:rsid w:val="00457F62"/>
    <w:rsid w:val="004613D9"/>
    <w:rsid w:val="00461A16"/>
    <w:rsid w:val="00466FAB"/>
    <w:rsid w:val="00472AEB"/>
    <w:rsid w:val="004762AA"/>
    <w:rsid w:val="004779C2"/>
    <w:rsid w:val="00480337"/>
    <w:rsid w:val="00480B17"/>
    <w:rsid w:val="00480E5E"/>
    <w:rsid w:val="00483C82"/>
    <w:rsid w:val="0048656F"/>
    <w:rsid w:val="004873F9"/>
    <w:rsid w:val="00491F1A"/>
    <w:rsid w:val="00492C56"/>
    <w:rsid w:val="0049360E"/>
    <w:rsid w:val="00493CA0"/>
    <w:rsid w:val="00493F61"/>
    <w:rsid w:val="0049468E"/>
    <w:rsid w:val="00495843"/>
    <w:rsid w:val="004A140C"/>
    <w:rsid w:val="004A24BB"/>
    <w:rsid w:val="004A4773"/>
    <w:rsid w:val="004B2782"/>
    <w:rsid w:val="004B2CB3"/>
    <w:rsid w:val="004B3D24"/>
    <w:rsid w:val="004B5551"/>
    <w:rsid w:val="004B71AD"/>
    <w:rsid w:val="004B74FE"/>
    <w:rsid w:val="004B75A4"/>
    <w:rsid w:val="004C20A1"/>
    <w:rsid w:val="004C6369"/>
    <w:rsid w:val="004D0F65"/>
    <w:rsid w:val="004D57CA"/>
    <w:rsid w:val="004E15AD"/>
    <w:rsid w:val="004E387F"/>
    <w:rsid w:val="004E4A07"/>
    <w:rsid w:val="004E7A20"/>
    <w:rsid w:val="004F1E97"/>
    <w:rsid w:val="004F406E"/>
    <w:rsid w:val="004F62EB"/>
    <w:rsid w:val="004F6D17"/>
    <w:rsid w:val="00502A59"/>
    <w:rsid w:val="00504617"/>
    <w:rsid w:val="00504756"/>
    <w:rsid w:val="00510147"/>
    <w:rsid w:val="00512167"/>
    <w:rsid w:val="00512861"/>
    <w:rsid w:val="005130FC"/>
    <w:rsid w:val="005135C0"/>
    <w:rsid w:val="00520CA9"/>
    <w:rsid w:val="00522549"/>
    <w:rsid w:val="00523B27"/>
    <w:rsid w:val="00524022"/>
    <w:rsid w:val="00524133"/>
    <w:rsid w:val="005265D3"/>
    <w:rsid w:val="00527900"/>
    <w:rsid w:val="00527D5B"/>
    <w:rsid w:val="00530A02"/>
    <w:rsid w:val="00531C08"/>
    <w:rsid w:val="00540A6C"/>
    <w:rsid w:val="00546978"/>
    <w:rsid w:val="0054758C"/>
    <w:rsid w:val="00552874"/>
    <w:rsid w:val="005536A3"/>
    <w:rsid w:val="005541EA"/>
    <w:rsid w:val="00554FE3"/>
    <w:rsid w:val="00560840"/>
    <w:rsid w:val="00560899"/>
    <w:rsid w:val="0056120A"/>
    <w:rsid w:val="00563B39"/>
    <w:rsid w:val="00565B3D"/>
    <w:rsid w:val="00566066"/>
    <w:rsid w:val="00572DC2"/>
    <w:rsid w:val="00574EE8"/>
    <w:rsid w:val="00575DA3"/>
    <w:rsid w:val="00576026"/>
    <w:rsid w:val="00576140"/>
    <w:rsid w:val="00576490"/>
    <w:rsid w:val="005866B8"/>
    <w:rsid w:val="00590D30"/>
    <w:rsid w:val="005931A8"/>
    <w:rsid w:val="00594A97"/>
    <w:rsid w:val="00595579"/>
    <w:rsid w:val="0059685C"/>
    <w:rsid w:val="005A155E"/>
    <w:rsid w:val="005A31E3"/>
    <w:rsid w:val="005B3EC0"/>
    <w:rsid w:val="005B42A5"/>
    <w:rsid w:val="005B5B1F"/>
    <w:rsid w:val="005B7578"/>
    <w:rsid w:val="005B7726"/>
    <w:rsid w:val="005B7F38"/>
    <w:rsid w:val="005C012D"/>
    <w:rsid w:val="005C13A4"/>
    <w:rsid w:val="005C1851"/>
    <w:rsid w:val="005C2ED0"/>
    <w:rsid w:val="005C4918"/>
    <w:rsid w:val="005C6488"/>
    <w:rsid w:val="005C6691"/>
    <w:rsid w:val="005C779F"/>
    <w:rsid w:val="005D09B9"/>
    <w:rsid w:val="005D3914"/>
    <w:rsid w:val="005D44E4"/>
    <w:rsid w:val="005E1743"/>
    <w:rsid w:val="005E3875"/>
    <w:rsid w:val="005E6BCE"/>
    <w:rsid w:val="005F279A"/>
    <w:rsid w:val="005F55CB"/>
    <w:rsid w:val="005F7794"/>
    <w:rsid w:val="00601D96"/>
    <w:rsid w:val="00603EFD"/>
    <w:rsid w:val="006059B4"/>
    <w:rsid w:val="00605D41"/>
    <w:rsid w:val="006113B3"/>
    <w:rsid w:val="006134AC"/>
    <w:rsid w:val="00615041"/>
    <w:rsid w:val="00616886"/>
    <w:rsid w:val="00620448"/>
    <w:rsid w:val="006214E9"/>
    <w:rsid w:val="006236DC"/>
    <w:rsid w:val="006245D6"/>
    <w:rsid w:val="00625645"/>
    <w:rsid w:val="006261AD"/>
    <w:rsid w:val="00632BA7"/>
    <w:rsid w:val="00635924"/>
    <w:rsid w:val="0063758D"/>
    <w:rsid w:val="0064168F"/>
    <w:rsid w:val="006434BF"/>
    <w:rsid w:val="00644BA4"/>
    <w:rsid w:val="00650E73"/>
    <w:rsid w:val="006528B7"/>
    <w:rsid w:val="00653777"/>
    <w:rsid w:val="00653E03"/>
    <w:rsid w:val="00656127"/>
    <w:rsid w:val="006622E9"/>
    <w:rsid w:val="0066550A"/>
    <w:rsid w:val="006702BD"/>
    <w:rsid w:val="006714B5"/>
    <w:rsid w:val="006721AB"/>
    <w:rsid w:val="00672B3F"/>
    <w:rsid w:val="00673FD5"/>
    <w:rsid w:val="00675DCA"/>
    <w:rsid w:val="0067664C"/>
    <w:rsid w:val="00676FEE"/>
    <w:rsid w:val="006770E4"/>
    <w:rsid w:val="0068045D"/>
    <w:rsid w:val="0068061F"/>
    <w:rsid w:val="006809DE"/>
    <w:rsid w:val="00681EF8"/>
    <w:rsid w:val="00684547"/>
    <w:rsid w:val="00684D0F"/>
    <w:rsid w:val="00684DD8"/>
    <w:rsid w:val="006871CB"/>
    <w:rsid w:val="0069090C"/>
    <w:rsid w:val="00691D9F"/>
    <w:rsid w:val="00696709"/>
    <w:rsid w:val="006B0DF8"/>
    <w:rsid w:val="006B2198"/>
    <w:rsid w:val="006B259B"/>
    <w:rsid w:val="006B39C7"/>
    <w:rsid w:val="006B5CB3"/>
    <w:rsid w:val="006B68C1"/>
    <w:rsid w:val="006C31B4"/>
    <w:rsid w:val="006C356C"/>
    <w:rsid w:val="006C5713"/>
    <w:rsid w:val="006D2DB7"/>
    <w:rsid w:val="006D6627"/>
    <w:rsid w:val="006E1200"/>
    <w:rsid w:val="006E1693"/>
    <w:rsid w:val="006E4D8D"/>
    <w:rsid w:val="006F0E1C"/>
    <w:rsid w:val="006F26EC"/>
    <w:rsid w:val="006F2A1C"/>
    <w:rsid w:val="006F36F6"/>
    <w:rsid w:val="006F3BA8"/>
    <w:rsid w:val="006F5940"/>
    <w:rsid w:val="006F7447"/>
    <w:rsid w:val="00702C02"/>
    <w:rsid w:val="00704E7F"/>
    <w:rsid w:val="00705F4B"/>
    <w:rsid w:val="00716E38"/>
    <w:rsid w:val="00720DF4"/>
    <w:rsid w:val="007225A7"/>
    <w:rsid w:val="007257A8"/>
    <w:rsid w:val="00725FDB"/>
    <w:rsid w:val="0072671F"/>
    <w:rsid w:val="00727A4A"/>
    <w:rsid w:val="00727C03"/>
    <w:rsid w:val="00731391"/>
    <w:rsid w:val="0073509B"/>
    <w:rsid w:val="0073739F"/>
    <w:rsid w:val="0073741A"/>
    <w:rsid w:val="00737B4C"/>
    <w:rsid w:val="007409E0"/>
    <w:rsid w:val="00745594"/>
    <w:rsid w:val="00745C0D"/>
    <w:rsid w:val="0074652A"/>
    <w:rsid w:val="00747866"/>
    <w:rsid w:val="007542FB"/>
    <w:rsid w:val="0075442B"/>
    <w:rsid w:val="0075461C"/>
    <w:rsid w:val="00756224"/>
    <w:rsid w:val="0075632E"/>
    <w:rsid w:val="00766279"/>
    <w:rsid w:val="00770419"/>
    <w:rsid w:val="00770E58"/>
    <w:rsid w:val="0077488E"/>
    <w:rsid w:val="00786911"/>
    <w:rsid w:val="00787384"/>
    <w:rsid w:val="00790CC8"/>
    <w:rsid w:val="007943AE"/>
    <w:rsid w:val="00794C1E"/>
    <w:rsid w:val="00795076"/>
    <w:rsid w:val="00796234"/>
    <w:rsid w:val="00796C98"/>
    <w:rsid w:val="00796CBF"/>
    <w:rsid w:val="007A4940"/>
    <w:rsid w:val="007A4DDD"/>
    <w:rsid w:val="007A4EFE"/>
    <w:rsid w:val="007A61B4"/>
    <w:rsid w:val="007B0678"/>
    <w:rsid w:val="007B293B"/>
    <w:rsid w:val="007B7184"/>
    <w:rsid w:val="007C23E1"/>
    <w:rsid w:val="007C3510"/>
    <w:rsid w:val="007C3843"/>
    <w:rsid w:val="007C4801"/>
    <w:rsid w:val="007C5902"/>
    <w:rsid w:val="007D11B3"/>
    <w:rsid w:val="007D2738"/>
    <w:rsid w:val="007D385B"/>
    <w:rsid w:val="007D43B6"/>
    <w:rsid w:val="007E0EEC"/>
    <w:rsid w:val="007E1C41"/>
    <w:rsid w:val="007E2C27"/>
    <w:rsid w:val="007F2755"/>
    <w:rsid w:val="007F55B5"/>
    <w:rsid w:val="007F7265"/>
    <w:rsid w:val="008028CE"/>
    <w:rsid w:val="00802F99"/>
    <w:rsid w:val="00803ED6"/>
    <w:rsid w:val="00804774"/>
    <w:rsid w:val="008057A0"/>
    <w:rsid w:val="00812144"/>
    <w:rsid w:val="00822BF0"/>
    <w:rsid w:val="00824F7D"/>
    <w:rsid w:val="008271CC"/>
    <w:rsid w:val="008329D7"/>
    <w:rsid w:val="008348F3"/>
    <w:rsid w:val="00834F82"/>
    <w:rsid w:val="00837D86"/>
    <w:rsid w:val="00840987"/>
    <w:rsid w:val="008422D6"/>
    <w:rsid w:val="00842B2A"/>
    <w:rsid w:val="00842F56"/>
    <w:rsid w:val="00844D64"/>
    <w:rsid w:val="00846F49"/>
    <w:rsid w:val="0085090F"/>
    <w:rsid w:val="00851205"/>
    <w:rsid w:val="00851F6E"/>
    <w:rsid w:val="00863A88"/>
    <w:rsid w:val="00873675"/>
    <w:rsid w:val="00876C53"/>
    <w:rsid w:val="00877CD7"/>
    <w:rsid w:val="00881EB7"/>
    <w:rsid w:val="008871E8"/>
    <w:rsid w:val="00887274"/>
    <w:rsid w:val="00890255"/>
    <w:rsid w:val="00890C5C"/>
    <w:rsid w:val="00891774"/>
    <w:rsid w:val="008A01B4"/>
    <w:rsid w:val="008A0B91"/>
    <w:rsid w:val="008A5202"/>
    <w:rsid w:val="008A703F"/>
    <w:rsid w:val="008B080F"/>
    <w:rsid w:val="008B14D8"/>
    <w:rsid w:val="008B2590"/>
    <w:rsid w:val="008B3833"/>
    <w:rsid w:val="008B669F"/>
    <w:rsid w:val="008B7643"/>
    <w:rsid w:val="008C0635"/>
    <w:rsid w:val="008C0BA2"/>
    <w:rsid w:val="008C4BE1"/>
    <w:rsid w:val="008C7D3B"/>
    <w:rsid w:val="008D2AFF"/>
    <w:rsid w:val="008D3B6F"/>
    <w:rsid w:val="008D3ED5"/>
    <w:rsid w:val="008D455D"/>
    <w:rsid w:val="008D5D8C"/>
    <w:rsid w:val="008D712A"/>
    <w:rsid w:val="008D7CD5"/>
    <w:rsid w:val="008D7E55"/>
    <w:rsid w:val="008E410B"/>
    <w:rsid w:val="008E4F59"/>
    <w:rsid w:val="008F0DCB"/>
    <w:rsid w:val="008F1C77"/>
    <w:rsid w:val="008F1E99"/>
    <w:rsid w:val="008F5656"/>
    <w:rsid w:val="008F6418"/>
    <w:rsid w:val="00900033"/>
    <w:rsid w:val="0090316D"/>
    <w:rsid w:val="00903E32"/>
    <w:rsid w:val="00907261"/>
    <w:rsid w:val="00914680"/>
    <w:rsid w:val="00914A86"/>
    <w:rsid w:val="00916FAE"/>
    <w:rsid w:val="00920606"/>
    <w:rsid w:val="009216CB"/>
    <w:rsid w:val="0092198E"/>
    <w:rsid w:val="00921BDE"/>
    <w:rsid w:val="00921FD2"/>
    <w:rsid w:val="009250C2"/>
    <w:rsid w:val="009255A2"/>
    <w:rsid w:val="009269F2"/>
    <w:rsid w:val="00927B41"/>
    <w:rsid w:val="0093318D"/>
    <w:rsid w:val="009333AE"/>
    <w:rsid w:val="00933E46"/>
    <w:rsid w:val="00936AE0"/>
    <w:rsid w:val="00940935"/>
    <w:rsid w:val="00941001"/>
    <w:rsid w:val="0094188F"/>
    <w:rsid w:val="009419F6"/>
    <w:rsid w:val="009443D3"/>
    <w:rsid w:val="00944F0B"/>
    <w:rsid w:val="0094675D"/>
    <w:rsid w:val="00951650"/>
    <w:rsid w:val="009542FD"/>
    <w:rsid w:val="00955795"/>
    <w:rsid w:val="009608F1"/>
    <w:rsid w:val="00962AB9"/>
    <w:rsid w:val="00962EFF"/>
    <w:rsid w:val="00970899"/>
    <w:rsid w:val="00970940"/>
    <w:rsid w:val="00976080"/>
    <w:rsid w:val="00977BB0"/>
    <w:rsid w:val="00977DF8"/>
    <w:rsid w:val="00980646"/>
    <w:rsid w:val="00982A5A"/>
    <w:rsid w:val="009837ED"/>
    <w:rsid w:val="009839BF"/>
    <w:rsid w:val="00985035"/>
    <w:rsid w:val="009873B1"/>
    <w:rsid w:val="00990061"/>
    <w:rsid w:val="00990CE6"/>
    <w:rsid w:val="009929C7"/>
    <w:rsid w:val="009942E5"/>
    <w:rsid w:val="009947E8"/>
    <w:rsid w:val="00996723"/>
    <w:rsid w:val="009A3377"/>
    <w:rsid w:val="009B1A8D"/>
    <w:rsid w:val="009B3AB5"/>
    <w:rsid w:val="009B593A"/>
    <w:rsid w:val="009B5FDA"/>
    <w:rsid w:val="009B7930"/>
    <w:rsid w:val="009C1042"/>
    <w:rsid w:val="009C28A2"/>
    <w:rsid w:val="009C30F2"/>
    <w:rsid w:val="009C341B"/>
    <w:rsid w:val="009C4639"/>
    <w:rsid w:val="009C57B7"/>
    <w:rsid w:val="009E7D1F"/>
    <w:rsid w:val="009E7DDF"/>
    <w:rsid w:val="009F1426"/>
    <w:rsid w:val="009F2EA2"/>
    <w:rsid w:val="009F6B30"/>
    <w:rsid w:val="00A01960"/>
    <w:rsid w:val="00A0355E"/>
    <w:rsid w:val="00A0389C"/>
    <w:rsid w:val="00A112DB"/>
    <w:rsid w:val="00A11C71"/>
    <w:rsid w:val="00A131BD"/>
    <w:rsid w:val="00A14864"/>
    <w:rsid w:val="00A159E3"/>
    <w:rsid w:val="00A16C92"/>
    <w:rsid w:val="00A16D9E"/>
    <w:rsid w:val="00A20226"/>
    <w:rsid w:val="00A22DAE"/>
    <w:rsid w:val="00A22E42"/>
    <w:rsid w:val="00A23C98"/>
    <w:rsid w:val="00A25F03"/>
    <w:rsid w:val="00A273DA"/>
    <w:rsid w:val="00A30B38"/>
    <w:rsid w:val="00A33E67"/>
    <w:rsid w:val="00A37A16"/>
    <w:rsid w:val="00A44BCE"/>
    <w:rsid w:val="00A45874"/>
    <w:rsid w:val="00A4661A"/>
    <w:rsid w:val="00A4729F"/>
    <w:rsid w:val="00A55CA4"/>
    <w:rsid w:val="00A56F79"/>
    <w:rsid w:val="00A61AF4"/>
    <w:rsid w:val="00A62DAB"/>
    <w:rsid w:val="00A64E88"/>
    <w:rsid w:val="00A6551C"/>
    <w:rsid w:val="00A660CF"/>
    <w:rsid w:val="00A67CDE"/>
    <w:rsid w:val="00A70C64"/>
    <w:rsid w:val="00A70DE6"/>
    <w:rsid w:val="00A71726"/>
    <w:rsid w:val="00A71E84"/>
    <w:rsid w:val="00A72163"/>
    <w:rsid w:val="00A76E97"/>
    <w:rsid w:val="00A80683"/>
    <w:rsid w:val="00A824C4"/>
    <w:rsid w:val="00A83CE5"/>
    <w:rsid w:val="00A867EC"/>
    <w:rsid w:val="00A92176"/>
    <w:rsid w:val="00A97EBB"/>
    <w:rsid w:val="00AA1185"/>
    <w:rsid w:val="00AA3EE1"/>
    <w:rsid w:val="00AA49FF"/>
    <w:rsid w:val="00AA7215"/>
    <w:rsid w:val="00AA77C6"/>
    <w:rsid w:val="00AB0A5A"/>
    <w:rsid w:val="00AB0E61"/>
    <w:rsid w:val="00AB14A7"/>
    <w:rsid w:val="00AB3493"/>
    <w:rsid w:val="00AB3C2D"/>
    <w:rsid w:val="00AB47E3"/>
    <w:rsid w:val="00AC0AA0"/>
    <w:rsid w:val="00AC6084"/>
    <w:rsid w:val="00AC7373"/>
    <w:rsid w:val="00AD203C"/>
    <w:rsid w:val="00AD2345"/>
    <w:rsid w:val="00AD3633"/>
    <w:rsid w:val="00AD3DBB"/>
    <w:rsid w:val="00AD4AC5"/>
    <w:rsid w:val="00AD706A"/>
    <w:rsid w:val="00AD7AAC"/>
    <w:rsid w:val="00AE258B"/>
    <w:rsid w:val="00AE55B0"/>
    <w:rsid w:val="00AE7076"/>
    <w:rsid w:val="00AF0274"/>
    <w:rsid w:val="00AF0859"/>
    <w:rsid w:val="00AF50F3"/>
    <w:rsid w:val="00B022A3"/>
    <w:rsid w:val="00B03165"/>
    <w:rsid w:val="00B03EA8"/>
    <w:rsid w:val="00B05208"/>
    <w:rsid w:val="00B06A97"/>
    <w:rsid w:val="00B0799F"/>
    <w:rsid w:val="00B11091"/>
    <w:rsid w:val="00B1169A"/>
    <w:rsid w:val="00B13ECF"/>
    <w:rsid w:val="00B1460B"/>
    <w:rsid w:val="00B14622"/>
    <w:rsid w:val="00B14C9F"/>
    <w:rsid w:val="00B162EE"/>
    <w:rsid w:val="00B20219"/>
    <w:rsid w:val="00B21562"/>
    <w:rsid w:val="00B223F6"/>
    <w:rsid w:val="00B226DD"/>
    <w:rsid w:val="00B2372E"/>
    <w:rsid w:val="00B24163"/>
    <w:rsid w:val="00B2686A"/>
    <w:rsid w:val="00B3144F"/>
    <w:rsid w:val="00B3272F"/>
    <w:rsid w:val="00B349B3"/>
    <w:rsid w:val="00B35D0A"/>
    <w:rsid w:val="00B3647A"/>
    <w:rsid w:val="00B37183"/>
    <w:rsid w:val="00B432FB"/>
    <w:rsid w:val="00B43873"/>
    <w:rsid w:val="00B4429B"/>
    <w:rsid w:val="00B4677C"/>
    <w:rsid w:val="00B55265"/>
    <w:rsid w:val="00B60967"/>
    <w:rsid w:val="00B60BE8"/>
    <w:rsid w:val="00B61E60"/>
    <w:rsid w:val="00B62E2F"/>
    <w:rsid w:val="00B647B8"/>
    <w:rsid w:val="00B672BC"/>
    <w:rsid w:val="00B70FD9"/>
    <w:rsid w:val="00B71129"/>
    <w:rsid w:val="00B71572"/>
    <w:rsid w:val="00B72929"/>
    <w:rsid w:val="00B75940"/>
    <w:rsid w:val="00B86B9A"/>
    <w:rsid w:val="00B8714A"/>
    <w:rsid w:val="00B93120"/>
    <w:rsid w:val="00B9496E"/>
    <w:rsid w:val="00BA10AD"/>
    <w:rsid w:val="00BA160C"/>
    <w:rsid w:val="00BA324B"/>
    <w:rsid w:val="00BA3A33"/>
    <w:rsid w:val="00BA62A9"/>
    <w:rsid w:val="00BA6598"/>
    <w:rsid w:val="00BA6D0F"/>
    <w:rsid w:val="00BB1B1D"/>
    <w:rsid w:val="00BB202E"/>
    <w:rsid w:val="00BB4AC9"/>
    <w:rsid w:val="00BB5531"/>
    <w:rsid w:val="00BB5599"/>
    <w:rsid w:val="00BB61F6"/>
    <w:rsid w:val="00BB6D82"/>
    <w:rsid w:val="00BC013D"/>
    <w:rsid w:val="00BC2287"/>
    <w:rsid w:val="00BC24B1"/>
    <w:rsid w:val="00BC4F7A"/>
    <w:rsid w:val="00BC728F"/>
    <w:rsid w:val="00BC7845"/>
    <w:rsid w:val="00BD01BB"/>
    <w:rsid w:val="00BD05CF"/>
    <w:rsid w:val="00BD30F9"/>
    <w:rsid w:val="00BD39E4"/>
    <w:rsid w:val="00BD509F"/>
    <w:rsid w:val="00BD52F0"/>
    <w:rsid w:val="00BE4A7B"/>
    <w:rsid w:val="00BE5AFD"/>
    <w:rsid w:val="00BE7D4D"/>
    <w:rsid w:val="00BF296E"/>
    <w:rsid w:val="00C042C1"/>
    <w:rsid w:val="00C05BB0"/>
    <w:rsid w:val="00C05F2F"/>
    <w:rsid w:val="00C07889"/>
    <w:rsid w:val="00C13EC0"/>
    <w:rsid w:val="00C14850"/>
    <w:rsid w:val="00C23EDB"/>
    <w:rsid w:val="00C302D6"/>
    <w:rsid w:val="00C309E1"/>
    <w:rsid w:val="00C36575"/>
    <w:rsid w:val="00C3713C"/>
    <w:rsid w:val="00C377A4"/>
    <w:rsid w:val="00C37830"/>
    <w:rsid w:val="00C37C1D"/>
    <w:rsid w:val="00C450DF"/>
    <w:rsid w:val="00C50FC6"/>
    <w:rsid w:val="00C512E0"/>
    <w:rsid w:val="00C52A7A"/>
    <w:rsid w:val="00C557FA"/>
    <w:rsid w:val="00C57F7A"/>
    <w:rsid w:val="00C57FCB"/>
    <w:rsid w:val="00C61F4E"/>
    <w:rsid w:val="00C62F76"/>
    <w:rsid w:val="00C66AE1"/>
    <w:rsid w:val="00C66E94"/>
    <w:rsid w:val="00C678FB"/>
    <w:rsid w:val="00C67CF7"/>
    <w:rsid w:val="00C72897"/>
    <w:rsid w:val="00C77591"/>
    <w:rsid w:val="00C77C6A"/>
    <w:rsid w:val="00C813B2"/>
    <w:rsid w:val="00C83F7E"/>
    <w:rsid w:val="00C8469C"/>
    <w:rsid w:val="00C9473D"/>
    <w:rsid w:val="00C956F5"/>
    <w:rsid w:val="00C95A5F"/>
    <w:rsid w:val="00C97EAC"/>
    <w:rsid w:val="00CA057B"/>
    <w:rsid w:val="00CA5632"/>
    <w:rsid w:val="00CB094E"/>
    <w:rsid w:val="00CB1D6D"/>
    <w:rsid w:val="00CB48B3"/>
    <w:rsid w:val="00CC04D8"/>
    <w:rsid w:val="00CC21C0"/>
    <w:rsid w:val="00CC37BE"/>
    <w:rsid w:val="00CC5910"/>
    <w:rsid w:val="00CD0487"/>
    <w:rsid w:val="00CD1104"/>
    <w:rsid w:val="00CD28D5"/>
    <w:rsid w:val="00CD507B"/>
    <w:rsid w:val="00CD74A7"/>
    <w:rsid w:val="00CD7762"/>
    <w:rsid w:val="00CD7803"/>
    <w:rsid w:val="00CE1205"/>
    <w:rsid w:val="00CE428B"/>
    <w:rsid w:val="00CE6037"/>
    <w:rsid w:val="00CE6E80"/>
    <w:rsid w:val="00CF25E4"/>
    <w:rsid w:val="00CF3BCA"/>
    <w:rsid w:val="00D0401E"/>
    <w:rsid w:val="00D065D9"/>
    <w:rsid w:val="00D06CB4"/>
    <w:rsid w:val="00D106AB"/>
    <w:rsid w:val="00D1110D"/>
    <w:rsid w:val="00D1389C"/>
    <w:rsid w:val="00D140BF"/>
    <w:rsid w:val="00D144E4"/>
    <w:rsid w:val="00D15D3B"/>
    <w:rsid w:val="00D22C9A"/>
    <w:rsid w:val="00D235BA"/>
    <w:rsid w:val="00D31370"/>
    <w:rsid w:val="00D366C0"/>
    <w:rsid w:val="00D373DF"/>
    <w:rsid w:val="00D4088D"/>
    <w:rsid w:val="00D41437"/>
    <w:rsid w:val="00D41B31"/>
    <w:rsid w:val="00D47182"/>
    <w:rsid w:val="00D504B1"/>
    <w:rsid w:val="00D51CBB"/>
    <w:rsid w:val="00D51CE0"/>
    <w:rsid w:val="00D52132"/>
    <w:rsid w:val="00D5341A"/>
    <w:rsid w:val="00D540A7"/>
    <w:rsid w:val="00D54F08"/>
    <w:rsid w:val="00D55774"/>
    <w:rsid w:val="00D57E0A"/>
    <w:rsid w:val="00D6190F"/>
    <w:rsid w:val="00D628F9"/>
    <w:rsid w:val="00D62C1E"/>
    <w:rsid w:val="00D66BAF"/>
    <w:rsid w:val="00D7146F"/>
    <w:rsid w:val="00D72F2C"/>
    <w:rsid w:val="00D7351B"/>
    <w:rsid w:val="00D832D9"/>
    <w:rsid w:val="00D85D58"/>
    <w:rsid w:val="00D92867"/>
    <w:rsid w:val="00D93E1F"/>
    <w:rsid w:val="00D961C5"/>
    <w:rsid w:val="00D96430"/>
    <w:rsid w:val="00DA3C1D"/>
    <w:rsid w:val="00DA44A0"/>
    <w:rsid w:val="00DA7017"/>
    <w:rsid w:val="00DA75E4"/>
    <w:rsid w:val="00DB049E"/>
    <w:rsid w:val="00DB60EA"/>
    <w:rsid w:val="00DC2D91"/>
    <w:rsid w:val="00DC41D3"/>
    <w:rsid w:val="00DC5E33"/>
    <w:rsid w:val="00DC73C2"/>
    <w:rsid w:val="00DD3F7E"/>
    <w:rsid w:val="00DE0CD8"/>
    <w:rsid w:val="00DE0EA9"/>
    <w:rsid w:val="00DE5652"/>
    <w:rsid w:val="00DE64EA"/>
    <w:rsid w:val="00DF17E0"/>
    <w:rsid w:val="00DF2B64"/>
    <w:rsid w:val="00E007D5"/>
    <w:rsid w:val="00E00F49"/>
    <w:rsid w:val="00E016EE"/>
    <w:rsid w:val="00E036ED"/>
    <w:rsid w:val="00E03EFE"/>
    <w:rsid w:val="00E05E9D"/>
    <w:rsid w:val="00E0728A"/>
    <w:rsid w:val="00E07609"/>
    <w:rsid w:val="00E07B79"/>
    <w:rsid w:val="00E106C5"/>
    <w:rsid w:val="00E120E8"/>
    <w:rsid w:val="00E12897"/>
    <w:rsid w:val="00E207BB"/>
    <w:rsid w:val="00E20ECC"/>
    <w:rsid w:val="00E2121E"/>
    <w:rsid w:val="00E21521"/>
    <w:rsid w:val="00E236F3"/>
    <w:rsid w:val="00E250DB"/>
    <w:rsid w:val="00E260FF"/>
    <w:rsid w:val="00E27706"/>
    <w:rsid w:val="00E3073B"/>
    <w:rsid w:val="00E318CC"/>
    <w:rsid w:val="00E33259"/>
    <w:rsid w:val="00E364D0"/>
    <w:rsid w:val="00E40B31"/>
    <w:rsid w:val="00E412D7"/>
    <w:rsid w:val="00E421A3"/>
    <w:rsid w:val="00E42B85"/>
    <w:rsid w:val="00E42C13"/>
    <w:rsid w:val="00E505C2"/>
    <w:rsid w:val="00E53435"/>
    <w:rsid w:val="00E54745"/>
    <w:rsid w:val="00E625EF"/>
    <w:rsid w:val="00E63F17"/>
    <w:rsid w:val="00E72298"/>
    <w:rsid w:val="00E75BB5"/>
    <w:rsid w:val="00E80D9B"/>
    <w:rsid w:val="00E8154C"/>
    <w:rsid w:val="00E8163D"/>
    <w:rsid w:val="00E828D9"/>
    <w:rsid w:val="00E916D0"/>
    <w:rsid w:val="00E91B19"/>
    <w:rsid w:val="00E96AE3"/>
    <w:rsid w:val="00E974D3"/>
    <w:rsid w:val="00EA1197"/>
    <w:rsid w:val="00EB18C2"/>
    <w:rsid w:val="00EB635E"/>
    <w:rsid w:val="00EB6EAD"/>
    <w:rsid w:val="00EC0309"/>
    <w:rsid w:val="00EC5000"/>
    <w:rsid w:val="00EC578B"/>
    <w:rsid w:val="00ED5B79"/>
    <w:rsid w:val="00ED63B4"/>
    <w:rsid w:val="00EE02AB"/>
    <w:rsid w:val="00EE09B5"/>
    <w:rsid w:val="00EE0EB2"/>
    <w:rsid w:val="00EE1298"/>
    <w:rsid w:val="00EE2B4D"/>
    <w:rsid w:val="00EE752C"/>
    <w:rsid w:val="00EF01C0"/>
    <w:rsid w:val="00EF38F7"/>
    <w:rsid w:val="00EF3F6A"/>
    <w:rsid w:val="00EF58AC"/>
    <w:rsid w:val="00F04781"/>
    <w:rsid w:val="00F108C9"/>
    <w:rsid w:val="00F12D1B"/>
    <w:rsid w:val="00F153CD"/>
    <w:rsid w:val="00F21F7A"/>
    <w:rsid w:val="00F24DC6"/>
    <w:rsid w:val="00F25657"/>
    <w:rsid w:val="00F261B8"/>
    <w:rsid w:val="00F271C1"/>
    <w:rsid w:val="00F32851"/>
    <w:rsid w:val="00F34C06"/>
    <w:rsid w:val="00F35386"/>
    <w:rsid w:val="00F36578"/>
    <w:rsid w:val="00F36AA4"/>
    <w:rsid w:val="00F40C21"/>
    <w:rsid w:val="00F47CC5"/>
    <w:rsid w:val="00F5094B"/>
    <w:rsid w:val="00F60F7C"/>
    <w:rsid w:val="00F625CC"/>
    <w:rsid w:val="00F636CD"/>
    <w:rsid w:val="00F65BC2"/>
    <w:rsid w:val="00F6663A"/>
    <w:rsid w:val="00F66C12"/>
    <w:rsid w:val="00F66EA5"/>
    <w:rsid w:val="00F70ED3"/>
    <w:rsid w:val="00F73A0D"/>
    <w:rsid w:val="00F77EE6"/>
    <w:rsid w:val="00F8135D"/>
    <w:rsid w:val="00F8544D"/>
    <w:rsid w:val="00F8669E"/>
    <w:rsid w:val="00F87DFC"/>
    <w:rsid w:val="00F95D60"/>
    <w:rsid w:val="00FA08F6"/>
    <w:rsid w:val="00FA1EFD"/>
    <w:rsid w:val="00FA2F86"/>
    <w:rsid w:val="00FA6A20"/>
    <w:rsid w:val="00FA7F8B"/>
    <w:rsid w:val="00FB6176"/>
    <w:rsid w:val="00FB673A"/>
    <w:rsid w:val="00FC090E"/>
    <w:rsid w:val="00FC09FC"/>
    <w:rsid w:val="00FC43A5"/>
    <w:rsid w:val="00FC4BC5"/>
    <w:rsid w:val="00FC4DF2"/>
    <w:rsid w:val="00FC5E83"/>
    <w:rsid w:val="00FC616D"/>
    <w:rsid w:val="00FD2484"/>
    <w:rsid w:val="00FD50C5"/>
    <w:rsid w:val="00FD54E6"/>
    <w:rsid w:val="00FD70BD"/>
    <w:rsid w:val="00FE3EAB"/>
    <w:rsid w:val="00FE54F9"/>
    <w:rsid w:val="00FF02C3"/>
    <w:rsid w:val="00FF04C6"/>
    <w:rsid w:val="00FF47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F1015"/>
  <w15:docId w15:val="{12910DB8-4E72-47E1-9ACA-0F1BE3DB0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7D5B"/>
    <w:rPr>
      <w:sz w:val="24"/>
    </w:rPr>
  </w:style>
  <w:style w:type="paragraph" w:styleId="Heading1">
    <w:name w:val="heading 1"/>
    <w:basedOn w:val="Normal"/>
    <w:next w:val="Normal"/>
    <w:link w:val="Heading1Char"/>
    <w:uiPriority w:val="9"/>
    <w:qFormat/>
    <w:rsid w:val="00D47182"/>
    <w:pPr>
      <w:keepNext/>
      <w:keepLines/>
      <w:spacing w:before="240" w:after="240"/>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D47182"/>
    <w:pPr>
      <w:keepNext/>
      <w:keepLines/>
      <w:spacing w:before="120" w:after="120"/>
      <w:outlineLvl w:val="1"/>
    </w:pPr>
    <w:rPr>
      <w:rFonts w:ascii="Calibri" w:eastAsiaTheme="majorEastAsia" w:hAnsi="Calibri" w:cstheme="majorBidi"/>
      <w:b/>
      <w:sz w:val="28"/>
      <w:szCs w:val="26"/>
    </w:rPr>
  </w:style>
  <w:style w:type="paragraph" w:styleId="Heading3">
    <w:name w:val="heading 3"/>
    <w:basedOn w:val="Normal"/>
    <w:next w:val="Normal"/>
    <w:link w:val="Heading3Char"/>
    <w:uiPriority w:val="9"/>
    <w:unhideWhenUsed/>
    <w:qFormat/>
    <w:rsid w:val="00576490"/>
    <w:pPr>
      <w:keepNext/>
      <w:keepLines/>
      <w:spacing w:before="120" w:after="12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45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455D"/>
    <w:rPr>
      <w:color w:val="0563C1" w:themeColor="hyperlink"/>
      <w:u w:val="single"/>
    </w:rPr>
  </w:style>
  <w:style w:type="paragraph" w:styleId="FootnoteText">
    <w:name w:val="footnote text"/>
    <w:basedOn w:val="Normal"/>
    <w:link w:val="FootnoteTextChar"/>
    <w:uiPriority w:val="99"/>
    <w:semiHidden/>
    <w:unhideWhenUsed/>
    <w:rsid w:val="008D45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55D"/>
    <w:rPr>
      <w:sz w:val="20"/>
      <w:szCs w:val="20"/>
    </w:rPr>
  </w:style>
  <w:style w:type="character" w:styleId="FootnoteReference">
    <w:name w:val="footnote reference"/>
    <w:basedOn w:val="DefaultParagraphFont"/>
    <w:uiPriority w:val="99"/>
    <w:semiHidden/>
    <w:unhideWhenUsed/>
    <w:rsid w:val="008D455D"/>
    <w:rPr>
      <w:vertAlign w:val="superscript"/>
    </w:rPr>
  </w:style>
  <w:style w:type="table" w:customStyle="1" w:styleId="GridTable5Dark-Accent51">
    <w:name w:val="Grid Table 5 Dark - Accent 51"/>
    <w:basedOn w:val="TableNormal"/>
    <w:uiPriority w:val="50"/>
    <w:rsid w:val="008D45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styleId="FollowedHyperlink">
    <w:name w:val="FollowedHyperlink"/>
    <w:basedOn w:val="DefaultParagraphFont"/>
    <w:uiPriority w:val="99"/>
    <w:semiHidden/>
    <w:unhideWhenUsed/>
    <w:rsid w:val="00204E57"/>
    <w:rPr>
      <w:color w:val="954F72" w:themeColor="followedHyperlink"/>
      <w:u w:val="single"/>
    </w:rPr>
  </w:style>
  <w:style w:type="paragraph" w:styleId="ListParagraph">
    <w:name w:val="List Paragraph"/>
    <w:basedOn w:val="Normal"/>
    <w:uiPriority w:val="34"/>
    <w:qFormat/>
    <w:rsid w:val="006113B3"/>
    <w:pPr>
      <w:ind w:left="720"/>
      <w:contextualSpacing/>
    </w:pPr>
  </w:style>
  <w:style w:type="paragraph" w:styleId="Header">
    <w:name w:val="header"/>
    <w:basedOn w:val="Normal"/>
    <w:link w:val="HeaderChar"/>
    <w:uiPriority w:val="99"/>
    <w:unhideWhenUsed/>
    <w:rsid w:val="00CC0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04D8"/>
  </w:style>
  <w:style w:type="paragraph" w:styleId="Footer">
    <w:name w:val="footer"/>
    <w:basedOn w:val="Normal"/>
    <w:link w:val="FooterChar"/>
    <w:uiPriority w:val="99"/>
    <w:unhideWhenUsed/>
    <w:rsid w:val="00CC0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04D8"/>
  </w:style>
  <w:style w:type="character" w:customStyle="1" w:styleId="Heading2Char">
    <w:name w:val="Heading 2 Char"/>
    <w:basedOn w:val="DefaultParagraphFont"/>
    <w:link w:val="Heading2"/>
    <w:uiPriority w:val="9"/>
    <w:rsid w:val="00D47182"/>
    <w:rPr>
      <w:rFonts w:ascii="Calibri" w:eastAsiaTheme="majorEastAsia" w:hAnsi="Calibri" w:cstheme="majorBidi"/>
      <w:b/>
      <w:sz w:val="28"/>
      <w:szCs w:val="26"/>
    </w:rPr>
  </w:style>
  <w:style w:type="paragraph" w:styleId="EndnoteText">
    <w:name w:val="endnote text"/>
    <w:basedOn w:val="Normal"/>
    <w:link w:val="EndnoteTextChar"/>
    <w:uiPriority w:val="99"/>
    <w:semiHidden/>
    <w:unhideWhenUsed/>
    <w:rsid w:val="0045708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57088"/>
    <w:rPr>
      <w:sz w:val="20"/>
      <w:szCs w:val="20"/>
    </w:rPr>
  </w:style>
  <w:style w:type="character" w:styleId="EndnoteReference">
    <w:name w:val="endnote reference"/>
    <w:basedOn w:val="DefaultParagraphFont"/>
    <w:uiPriority w:val="99"/>
    <w:semiHidden/>
    <w:unhideWhenUsed/>
    <w:rsid w:val="00457088"/>
    <w:rPr>
      <w:vertAlign w:val="superscript"/>
    </w:rPr>
  </w:style>
  <w:style w:type="table" w:customStyle="1" w:styleId="TableGridLight1">
    <w:name w:val="Table Grid Light1"/>
    <w:basedOn w:val="TableNormal"/>
    <w:uiPriority w:val="40"/>
    <w:rsid w:val="00C51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D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7C27"/>
    <w:rPr>
      <w:rFonts w:ascii="Tahoma" w:hAnsi="Tahoma" w:cs="Tahoma"/>
      <w:sz w:val="16"/>
      <w:szCs w:val="16"/>
    </w:rPr>
  </w:style>
  <w:style w:type="character" w:styleId="CommentReference">
    <w:name w:val="annotation reference"/>
    <w:basedOn w:val="DefaultParagraphFont"/>
    <w:uiPriority w:val="99"/>
    <w:semiHidden/>
    <w:unhideWhenUsed/>
    <w:rsid w:val="000D7C27"/>
    <w:rPr>
      <w:sz w:val="16"/>
      <w:szCs w:val="16"/>
    </w:rPr>
  </w:style>
  <w:style w:type="paragraph" w:styleId="CommentText">
    <w:name w:val="annotation text"/>
    <w:basedOn w:val="Normal"/>
    <w:link w:val="CommentTextChar"/>
    <w:uiPriority w:val="99"/>
    <w:unhideWhenUsed/>
    <w:rsid w:val="000D7C27"/>
    <w:pPr>
      <w:spacing w:line="240" w:lineRule="auto"/>
    </w:pPr>
    <w:rPr>
      <w:sz w:val="20"/>
      <w:szCs w:val="20"/>
    </w:rPr>
  </w:style>
  <w:style w:type="character" w:customStyle="1" w:styleId="CommentTextChar">
    <w:name w:val="Comment Text Char"/>
    <w:basedOn w:val="DefaultParagraphFont"/>
    <w:link w:val="CommentText"/>
    <w:uiPriority w:val="99"/>
    <w:rsid w:val="000D7C27"/>
    <w:rPr>
      <w:sz w:val="20"/>
      <w:szCs w:val="20"/>
    </w:rPr>
  </w:style>
  <w:style w:type="paragraph" w:styleId="CommentSubject">
    <w:name w:val="annotation subject"/>
    <w:basedOn w:val="CommentText"/>
    <w:next w:val="CommentText"/>
    <w:link w:val="CommentSubjectChar"/>
    <w:uiPriority w:val="99"/>
    <w:semiHidden/>
    <w:unhideWhenUsed/>
    <w:rsid w:val="000D7C27"/>
    <w:rPr>
      <w:b/>
      <w:bCs/>
    </w:rPr>
  </w:style>
  <w:style w:type="character" w:customStyle="1" w:styleId="CommentSubjectChar">
    <w:name w:val="Comment Subject Char"/>
    <w:basedOn w:val="CommentTextChar"/>
    <w:link w:val="CommentSubject"/>
    <w:uiPriority w:val="99"/>
    <w:semiHidden/>
    <w:rsid w:val="000D7C27"/>
    <w:rPr>
      <w:b/>
      <w:bCs/>
      <w:sz w:val="20"/>
      <w:szCs w:val="20"/>
    </w:rPr>
  </w:style>
  <w:style w:type="paragraph" w:styleId="PlainText">
    <w:name w:val="Plain Text"/>
    <w:basedOn w:val="Normal"/>
    <w:link w:val="PlainTextChar"/>
    <w:uiPriority w:val="99"/>
    <w:unhideWhenUsed/>
    <w:rsid w:val="00A159E3"/>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A159E3"/>
    <w:rPr>
      <w:rFonts w:ascii="Calibri" w:hAnsi="Calibri"/>
      <w:szCs w:val="21"/>
    </w:rPr>
  </w:style>
  <w:style w:type="character" w:customStyle="1" w:styleId="Heading1Char">
    <w:name w:val="Heading 1 Char"/>
    <w:basedOn w:val="DefaultParagraphFont"/>
    <w:link w:val="Heading1"/>
    <w:uiPriority w:val="9"/>
    <w:rsid w:val="00D47182"/>
    <w:rPr>
      <w:rFonts w:ascii="Calibri" w:eastAsiaTheme="majorEastAsia" w:hAnsi="Calibri" w:cstheme="majorBidi"/>
      <w:b/>
      <w:color w:val="000000" w:themeColor="text1"/>
      <w:sz w:val="32"/>
      <w:szCs w:val="32"/>
    </w:rPr>
  </w:style>
  <w:style w:type="paragraph" w:styleId="TOCHeading">
    <w:name w:val="TOC Heading"/>
    <w:basedOn w:val="Heading1"/>
    <w:next w:val="Normal"/>
    <w:uiPriority w:val="39"/>
    <w:unhideWhenUsed/>
    <w:qFormat/>
    <w:rsid w:val="00BB5531"/>
    <w:pPr>
      <w:outlineLvl w:val="9"/>
    </w:pPr>
    <w:rPr>
      <w:lang w:val="en-US"/>
    </w:rPr>
  </w:style>
  <w:style w:type="paragraph" w:styleId="TOC2">
    <w:name w:val="toc 2"/>
    <w:basedOn w:val="Normal"/>
    <w:next w:val="Normal"/>
    <w:autoRedefine/>
    <w:uiPriority w:val="39"/>
    <w:unhideWhenUsed/>
    <w:rsid w:val="00BB5531"/>
    <w:pPr>
      <w:spacing w:after="100"/>
      <w:ind w:left="240"/>
    </w:pPr>
  </w:style>
  <w:style w:type="paragraph" w:styleId="TOC1">
    <w:name w:val="toc 1"/>
    <w:basedOn w:val="Normal"/>
    <w:next w:val="Normal"/>
    <w:autoRedefine/>
    <w:uiPriority w:val="39"/>
    <w:unhideWhenUsed/>
    <w:rsid w:val="00BB5531"/>
    <w:pPr>
      <w:spacing w:after="100"/>
    </w:pPr>
    <w:rPr>
      <w:rFonts w:eastAsiaTheme="minorEastAsia" w:cs="Times New Roman"/>
      <w:sz w:val="22"/>
      <w:lang w:val="en-US"/>
    </w:rPr>
  </w:style>
  <w:style w:type="paragraph" w:styleId="TOC3">
    <w:name w:val="toc 3"/>
    <w:basedOn w:val="Normal"/>
    <w:next w:val="Normal"/>
    <w:autoRedefine/>
    <w:uiPriority w:val="39"/>
    <w:unhideWhenUsed/>
    <w:rsid w:val="00BB5531"/>
    <w:pPr>
      <w:spacing w:after="100"/>
      <w:ind w:left="440"/>
    </w:pPr>
    <w:rPr>
      <w:rFonts w:eastAsiaTheme="minorEastAsia" w:cs="Times New Roman"/>
      <w:sz w:val="22"/>
      <w:lang w:val="en-US"/>
    </w:rPr>
  </w:style>
  <w:style w:type="table" w:styleId="TableGridLight">
    <w:name w:val="Grid Table Light"/>
    <w:basedOn w:val="TableNormal"/>
    <w:uiPriority w:val="40"/>
    <w:rsid w:val="00327C6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962EFF"/>
    <w:pPr>
      <w:spacing w:after="200" w:line="240" w:lineRule="auto"/>
    </w:pPr>
    <w:rPr>
      <w:i/>
      <w:iCs/>
      <w:color w:val="44546A" w:themeColor="text2"/>
      <w:sz w:val="18"/>
      <w:szCs w:val="18"/>
    </w:rPr>
  </w:style>
  <w:style w:type="table" w:styleId="PlainTable4">
    <w:name w:val="Plain Table 4"/>
    <w:basedOn w:val="TableNormal"/>
    <w:uiPriority w:val="44"/>
    <w:rsid w:val="00AD7A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3Char">
    <w:name w:val="Heading 3 Char"/>
    <w:basedOn w:val="DefaultParagraphFont"/>
    <w:link w:val="Heading3"/>
    <w:uiPriority w:val="9"/>
    <w:rsid w:val="00576490"/>
    <w:rPr>
      <w:rFonts w:ascii="Calibri" w:eastAsiaTheme="majorEastAsia" w:hAnsi="Calibri" w:cstheme="majorBidi"/>
      <w:b/>
      <w:sz w:val="24"/>
      <w:szCs w:val="24"/>
    </w:rPr>
  </w:style>
  <w:style w:type="paragraph" w:styleId="TableofFigures">
    <w:name w:val="table of figures"/>
    <w:basedOn w:val="Normal"/>
    <w:next w:val="Normal"/>
    <w:uiPriority w:val="99"/>
    <w:unhideWhenUsed/>
    <w:rsid w:val="00D06CB4"/>
    <w:pPr>
      <w:spacing w:after="0"/>
    </w:pPr>
  </w:style>
  <w:style w:type="table" w:styleId="GridTable1Light-Accent1">
    <w:name w:val="Grid Table 1 Light Accent 1"/>
    <w:basedOn w:val="TableNormal"/>
    <w:uiPriority w:val="46"/>
    <w:rsid w:val="00096C1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096C1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096C1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itle">
    <w:name w:val="Title"/>
    <w:basedOn w:val="Normal"/>
    <w:next w:val="Normal"/>
    <w:link w:val="TitleChar"/>
    <w:uiPriority w:val="10"/>
    <w:qFormat/>
    <w:rsid w:val="00306C4B"/>
    <w:pPr>
      <w:spacing w:after="24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C4B"/>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B72929"/>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umberedHeadingChar">
    <w:name w:val="Numbered Heading Char"/>
    <w:basedOn w:val="DefaultParagraphFont"/>
    <w:link w:val="NumberedHeading"/>
    <w:uiPriority w:val="2"/>
    <w:locked/>
    <w:rsid w:val="00FB6176"/>
    <w:rPr>
      <w:rFonts w:ascii="Arial" w:eastAsiaTheme="majorEastAsia" w:hAnsi="Arial" w:cstheme="majorBidi"/>
      <w:b/>
      <w:bCs/>
      <w:color w:val="68246D"/>
      <w:kern w:val="32"/>
      <w:szCs w:val="24"/>
    </w:rPr>
  </w:style>
  <w:style w:type="paragraph" w:customStyle="1" w:styleId="TextunderNumbered">
    <w:name w:val="Text under Numbered"/>
    <w:basedOn w:val="Normal"/>
    <w:link w:val="TextunderNumberedChar"/>
    <w:uiPriority w:val="3"/>
    <w:qFormat/>
    <w:rsid w:val="00FB6176"/>
    <w:pPr>
      <w:numPr>
        <w:ilvl w:val="1"/>
        <w:numId w:val="34"/>
      </w:numPr>
      <w:spacing w:after="240" w:line="240" w:lineRule="auto"/>
      <w:ind w:left="567" w:hanging="567"/>
      <w:jc w:val="both"/>
    </w:pPr>
    <w:rPr>
      <w:rFonts w:ascii="Arial" w:eastAsia="Times New Roman" w:hAnsi="Arial" w:cs="Times New Roman"/>
      <w:sz w:val="22"/>
      <w:szCs w:val="24"/>
      <w:lang w:eastAsia="en-GB"/>
    </w:rPr>
  </w:style>
  <w:style w:type="paragraph" w:customStyle="1" w:styleId="NumberedHeading">
    <w:name w:val="Numbered Heading"/>
    <w:basedOn w:val="Heading1"/>
    <w:next w:val="TextunderNumbered"/>
    <w:link w:val="NumberedHeadingChar"/>
    <w:uiPriority w:val="2"/>
    <w:qFormat/>
    <w:rsid w:val="00FB6176"/>
    <w:pPr>
      <w:keepLines w:val="0"/>
      <w:numPr>
        <w:numId w:val="34"/>
      </w:numPr>
      <w:spacing w:before="0" w:line="240" w:lineRule="auto"/>
      <w:ind w:left="567" w:hanging="567"/>
      <w:jc w:val="both"/>
    </w:pPr>
    <w:rPr>
      <w:rFonts w:ascii="Arial" w:hAnsi="Arial"/>
      <w:bCs/>
      <w:color w:val="68246D"/>
      <w:kern w:val="32"/>
      <w:sz w:val="22"/>
      <w:szCs w:val="24"/>
    </w:rPr>
  </w:style>
  <w:style w:type="character" w:customStyle="1" w:styleId="TextunderNumberedChar">
    <w:name w:val="Text under Numbered Char"/>
    <w:basedOn w:val="DefaultParagraphFont"/>
    <w:link w:val="TextunderNumbered"/>
    <w:uiPriority w:val="3"/>
    <w:locked/>
    <w:rsid w:val="00FB6176"/>
    <w:rPr>
      <w:rFonts w:ascii="Arial" w:eastAsia="Times New Roman" w:hAnsi="Arial" w:cs="Times New Roman"/>
      <w:szCs w:val="24"/>
      <w:lang w:eastAsia="en-GB"/>
    </w:rPr>
  </w:style>
  <w:style w:type="paragraph" w:customStyle="1" w:styleId="NumberIndented">
    <w:name w:val="Number Indented"/>
    <w:basedOn w:val="TextunderNumbered"/>
    <w:uiPriority w:val="4"/>
    <w:qFormat/>
    <w:rsid w:val="00FB6176"/>
    <w:pPr>
      <w:numPr>
        <w:ilvl w:val="2"/>
      </w:numPr>
      <w:tabs>
        <w:tab w:val="num" w:pos="360"/>
      </w:tabs>
      <w:ind w:left="1287" w:hanging="180"/>
    </w:pPr>
  </w:style>
  <w:style w:type="character" w:styleId="Strong">
    <w:name w:val="Strong"/>
    <w:basedOn w:val="DefaultParagraphFont"/>
    <w:uiPriority w:val="22"/>
    <w:qFormat/>
    <w:rsid w:val="00370FBA"/>
    <w:rPr>
      <w:b/>
      <w:bCs/>
    </w:rPr>
  </w:style>
  <w:style w:type="character" w:styleId="Emphasis">
    <w:name w:val="Emphasis"/>
    <w:basedOn w:val="DefaultParagraphFont"/>
    <w:uiPriority w:val="20"/>
    <w:qFormat/>
    <w:rsid w:val="00370FBA"/>
    <w:rPr>
      <w:i/>
      <w:iCs/>
    </w:rPr>
  </w:style>
  <w:style w:type="paragraph" w:styleId="NoSpacing">
    <w:name w:val="No Spacing"/>
    <w:uiPriority w:val="1"/>
    <w:qFormat/>
    <w:rsid w:val="00B60967"/>
    <w:pPr>
      <w:spacing w:after="0" w:line="240" w:lineRule="auto"/>
    </w:pPr>
    <w:rPr>
      <w:sz w:val="24"/>
    </w:rPr>
  </w:style>
  <w:style w:type="paragraph" w:styleId="Revision">
    <w:name w:val="Revision"/>
    <w:hidden/>
    <w:uiPriority w:val="99"/>
    <w:semiHidden/>
    <w:rsid w:val="00367F95"/>
    <w:pPr>
      <w:spacing w:after="0" w:line="240" w:lineRule="auto"/>
    </w:pPr>
    <w:rPr>
      <w:sz w:val="24"/>
    </w:rPr>
  </w:style>
  <w:style w:type="character" w:styleId="UnresolvedMention">
    <w:name w:val="Unresolved Mention"/>
    <w:basedOn w:val="DefaultParagraphFont"/>
    <w:uiPriority w:val="99"/>
    <w:semiHidden/>
    <w:unhideWhenUsed/>
    <w:rsid w:val="0068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07739">
      <w:bodyDiv w:val="1"/>
      <w:marLeft w:val="0"/>
      <w:marRight w:val="0"/>
      <w:marTop w:val="0"/>
      <w:marBottom w:val="0"/>
      <w:divBdr>
        <w:top w:val="none" w:sz="0" w:space="0" w:color="auto"/>
        <w:left w:val="none" w:sz="0" w:space="0" w:color="auto"/>
        <w:bottom w:val="none" w:sz="0" w:space="0" w:color="auto"/>
        <w:right w:val="none" w:sz="0" w:space="0" w:color="auto"/>
      </w:divBdr>
    </w:div>
    <w:div w:id="131144931">
      <w:bodyDiv w:val="1"/>
      <w:marLeft w:val="0"/>
      <w:marRight w:val="0"/>
      <w:marTop w:val="0"/>
      <w:marBottom w:val="0"/>
      <w:divBdr>
        <w:top w:val="none" w:sz="0" w:space="0" w:color="auto"/>
        <w:left w:val="none" w:sz="0" w:space="0" w:color="auto"/>
        <w:bottom w:val="none" w:sz="0" w:space="0" w:color="auto"/>
        <w:right w:val="none" w:sz="0" w:space="0" w:color="auto"/>
      </w:divBdr>
    </w:div>
    <w:div w:id="222907540">
      <w:bodyDiv w:val="1"/>
      <w:marLeft w:val="0"/>
      <w:marRight w:val="0"/>
      <w:marTop w:val="0"/>
      <w:marBottom w:val="0"/>
      <w:divBdr>
        <w:top w:val="none" w:sz="0" w:space="0" w:color="auto"/>
        <w:left w:val="none" w:sz="0" w:space="0" w:color="auto"/>
        <w:bottom w:val="none" w:sz="0" w:space="0" w:color="auto"/>
        <w:right w:val="none" w:sz="0" w:space="0" w:color="auto"/>
      </w:divBdr>
    </w:div>
    <w:div w:id="337733873">
      <w:bodyDiv w:val="1"/>
      <w:marLeft w:val="0"/>
      <w:marRight w:val="0"/>
      <w:marTop w:val="0"/>
      <w:marBottom w:val="0"/>
      <w:divBdr>
        <w:top w:val="none" w:sz="0" w:space="0" w:color="auto"/>
        <w:left w:val="none" w:sz="0" w:space="0" w:color="auto"/>
        <w:bottom w:val="none" w:sz="0" w:space="0" w:color="auto"/>
        <w:right w:val="none" w:sz="0" w:space="0" w:color="auto"/>
      </w:divBdr>
    </w:div>
    <w:div w:id="519511385">
      <w:bodyDiv w:val="1"/>
      <w:marLeft w:val="0"/>
      <w:marRight w:val="0"/>
      <w:marTop w:val="0"/>
      <w:marBottom w:val="0"/>
      <w:divBdr>
        <w:top w:val="none" w:sz="0" w:space="0" w:color="auto"/>
        <w:left w:val="none" w:sz="0" w:space="0" w:color="auto"/>
        <w:bottom w:val="none" w:sz="0" w:space="0" w:color="auto"/>
        <w:right w:val="none" w:sz="0" w:space="0" w:color="auto"/>
      </w:divBdr>
    </w:div>
    <w:div w:id="532692672">
      <w:bodyDiv w:val="1"/>
      <w:marLeft w:val="0"/>
      <w:marRight w:val="0"/>
      <w:marTop w:val="0"/>
      <w:marBottom w:val="0"/>
      <w:divBdr>
        <w:top w:val="none" w:sz="0" w:space="0" w:color="auto"/>
        <w:left w:val="none" w:sz="0" w:space="0" w:color="auto"/>
        <w:bottom w:val="none" w:sz="0" w:space="0" w:color="auto"/>
        <w:right w:val="none" w:sz="0" w:space="0" w:color="auto"/>
      </w:divBdr>
    </w:div>
    <w:div w:id="945505173">
      <w:bodyDiv w:val="1"/>
      <w:marLeft w:val="0"/>
      <w:marRight w:val="0"/>
      <w:marTop w:val="0"/>
      <w:marBottom w:val="0"/>
      <w:divBdr>
        <w:top w:val="none" w:sz="0" w:space="0" w:color="auto"/>
        <w:left w:val="none" w:sz="0" w:space="0" w:color="auto"/>
        <w:bottom w:val="none" w:sz="0" w:space="0" w:color="auto"/>
        <w:right w:val="none" w:sz="0" w:space="0" w:color="auto"/>
      </w:divBdr>
    </w:div>
    <w:div w:id="1009869195">
      <w:bodyDiv w:val="1"/>
      <w:marLeft w:val="0"/>
      <w:marRight w:val="0"/>
      <w:marTop w:val="0"/>
      <w:marBottom w:val="0"/>
      <w:divBdr>
        <w:top w:val="none" w:sz="0" w:space="0" w:color="auto"/>
        <w:left w:val="none" w:sz="0" w:space="0" w:color="auto"/>
        <w:bottom w:val="none" w:sz="0" w:space="0" w:color="auto"/>
        <w:right w:val="none" w:sz="0" w:space="0" w:color="auto"/>
      </w:divBdr>
    </w:div>
    <w:div w:id="1074400825">
      <w:bodyDiv w:val="1"/>
      <w:marLeft w:val="0"/>
      <w:marRight w:val="0"/>
      <w:marTop w:val="0"/>
      <w:marBottom w:val="0"/>
      <w:divBdr>
        <w:top w:val="none" w:sz="0" w:space="0" w:color="auto"/>
        <w:left w:val="none" w:sz="0" w:space="0" w:color="auto"/>
        <w:bottom w:val="none" w:sz="0" w:space="0" w:color="auto"/>
        <w:right w:val="none" w:sz="0" w:space="0" w:color="auto"/>
      </w:divBdr>
    </w:div>
    <w:div w:id="1534027831">
      <w:bodyDiv w:val="1"/>
      <w:marLeft w:val="0"/>
      <w:marRight w:val="0"/>
      <w:marTop w:val="0"/>
      <w:marBottom w:val="0"/>
      <w:divBdr>
        <w:top w:val="none" w:sz="0" w:space="0" w:color="auto"/>
        <w:left w:val="none" w:sz="0" w:space="0" w:color="auto"/>
        <w:bottom w:val="none" w:sz="0" w:space="0" w:color="auto"/>
        <w:right w:val="none" w:sz="0" w:space="0" w:color="auto"/>
      </w:divBdr>
    </w:div>
    <w:div w:id="1624724271">
      <w:bodyDiv w:val="1"/>
      <w:marLeft w:val="0"/>
      <w:marRight w:val="0"/>
      <w:marTop w:val="0"/>
      <w:marBottom w:val="0"/>
      <w:divBdr>
        <w:top w:val="none" w:sz="0" w:space="0" w:color="auto"/>
        <w:left w:val="none" w:sz="0" w:space="0" w:color="auto"/>
        <w:bottom w:val="none" w:sz="0" w:space="0" w:color="auto"/>
        <w:right w:val="none" w:sz="0" w:space="0" w:color="auto"/>
      </w:divBdr>
    </w:div>
    <w:div w:id="1841003892">
      <w:bodyDiv w:val="1"/>
      <w:marLeft w:val="0"/>
      <w:marRight w:val="0"/>
      <w:marTop w:val="0"/>
      <w:marBottom w:val="0"/>
      <w:divBdr>
        <w:top w:val="none" w:sz="0" w:space="0" w:color="auto"/>
        <w:left w:val="none" w:sz="0" w:space="0" w:color="auto"/>
        <w:bottom w:val="none" w:sz="0" w:space="0" w:color="auto"/>
        <w:right w:val="none" w:sz="0" w:space="0" w:color="auto"/>
      </w:divBdr>
    </w:div>
    <w:div w:id="1841702022">
      <w:bodyDiv w:val="1"/>
      <w:marLeft w:val="0"/>
      <w:marRight w:val="0"/>
      <w:marTop w:val="0"/>
      <w:marBottom w:val="0"/>
      <w:divBdr>
        <w:top w:val="none" w:sz="0" w:space="0" w:color="auto"/>
        <w:left w:val="none" w:sz="0" w:space="0" w:color="auto"/>
        <w:bottom w:val="none" w:sz="0" w:space="0" w:color="auto"/>
        <w:right w:val="none" w:sz="0" w:space="0" w:color="auto"/>
      </w:divBdr>
    </w:div>
    <w:div w:id="1858153832">
      <w:bodyDiv w:val="1"/>
      <w:marLeft w:val="0"/>
      <w:marRight w:val="0"/>
      <w:marTop w:val="0"/>
      <w:marBottom w:val="0"/>
      <w:divBdr>
        <w:top w:val="none" w:sz="0" w:space="0" w:color="auto"/>
        <w:left w:val="none" w:sz="0" w:space="0" w:color="auto"/>
        <w:bottom w:val="none" w:sz="0" w:space="0" w:color="auto"/>
        <w:right w:val="none" w:sz="0" w:space="0" w:color="auto"/>
      </w:divBdr>
    </w:div>
    <w:div w:id="206787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linical-excellence-awards-application-guidance/employers-guide-2022-awards-round" TargetMode="External"/><Relationship Id="rId18" Type="http://schemas.openxmlformats.org/officeDocument/2006/relationships/chart" Target="charts/chart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6.xml"/><Relationship Id="rId7" Type="http://schemas.openxmlformats.org/officeDocument/2006/relationships/settings" Target="settings.xml"/><Relationship Id="rId12" Type="http://schemas.openxmlformats.org/officeDocument/2006/relationships/hyperlink" Target="https://www.nhsemployers.org/articles/pay-scales-202223"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image" Target="media/image4.png"/><Relationship Id="rId54"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8.xml"/><Relationship Id="rId10" Type="http://schemas.openxmlformats.org/officeDocument/2006/relationships/endnotes" Target="endnotes.xml"/><Relationship Id="rId19" Type="http://schemas.openxmlformats.org/officeDocument/2006/relationships/chart" Target="charts/chart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7.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GB" sz="1200"/>
              <a:t>FPRE Gender Population by Grade 2022</a:t>
            </a:r>
          </a:p>
        </c:rich>
      </c:tx>
      <c:overlay val="0"/>
      <c:spPr>
        <a:noFill/>
        <a:ln>
          <a:noFill/>
        </a:ln>
        <a:effectLst/>
      </c:spPr>
    </c:title>
    <c:autoTitleDeleted val="0"/>
    <c:plotArea>
      <c:layout/>
      <c:barChart>
        <c:barDir val="bar"/>
        <c:grouping val="clustered"/>
        <c:varyColors val="0"/>
        <c:ser>
          <c:idx val="0"/>
          <c:order val="0"/>
          <c:tx>
            <c:strRef>
              <c:f>Sheet1!$E$5</c:f>
              <c:strCache>
                <c:ptCount val="1"/>
                <c:pt idx="0">
                  <c:v>Male</c:v>
                </c:pt>
              </c:strCache>
            </c:strRef>
          </c:tx>
          <c:spPr>
            <a:solidFill>
              <a:schemeClr val="accent1"/>
            </a:solidFill>
            <a:ln>
              <a:noFill/>
            </a:ln>
            <a:effectLst/>
          </c:spPr>
          <c:invertIfNegative val="0"/>
          <c:dLbls>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1"/>
                <c15:leaderLines>
                  <c:spPr>
                    <a:ln w="9525" cap="flat" cmpd="sng" algn="ctr">
                      <a:solidFill>
                        <a:schemeClr val="tx1">
                          <a:lumMod val="35000"/>
                          <a:lumOff val="65000"/>
                        </a:schemeClr>
                      </a:solidFill>
                      <a:round/>
                    </a:ln>
                    <a:effectLst/>
                  </c:spPr>
                </c15:leaderLines>
              </c:ext>
            </c:extLst>
          </c:dLbls>
          <c:cat>
            <c:strRef>
              <c:f>Sheet1!$D$6:$D$15</c:f>
              <c:strCache>
                <c:ptCount val="10"/>
                <c:pt idx="0">
                  <c:v>Grade 1</c:v>
                </c:pt>
                <c:pt idx="1">
                  <c:v>Grade 2</c:v>
                </c:pt>
                <c:pt idx="2">
                  <c:v>Grade 3</c:v>
                </c:pt>
                <c:pt idx="3">
                  <c:v>Grade 4</c:v>
                </c:pt>
                <c:pt idx="4">
                  <c:v>Grade 5</c:v>
                </c:pt>
                <c:pt idx="5">
                  <c:v>Grade 6</c:v>
                </c:pt>
                <c:pt idx="6">
                  <c:v>Grade 7</c:v>
                </c:pt>
                <c:pt idx="7">
                  <c:v>Grade 8</c:v>
                </c:pt>
                <c:pt idx="8">
                  <c:v>Grade 9</c:v>
                </c:pt>
                <c:pt idx="9">
                  <c:v>Grade 10</c:v>
                </c:pt>
              </c:strCache>
            </c:strRef>
          </c:cat>
          <c:val>
            <c:numRef>
              <c:f>Sheet1!$E$6:$E$15</c:f>
              <c:numCache>
                <c:formatCode>General</c:formatCode>
                <c:ptCount val="10"/>
                <c:pt idx="0">
                  <c:v>101</c:v>
                </c:pt>
                <c:pt idx="1">
                  <c:v>80</c:v>
                </c:pt>
                <c:pt idx="2">
                  <c:v>93</c:v>
                </c:pt>
                <c:pt idx="3">
                  <c:v>162</c:v>
                </c:pt>
                <c:pt idx="4">
                  <c:v>221</c:v>
                </c:pt>
                <c:pt idx="5">
                  <c:v>504</c:v>
                </c:pt>
                <c:pt idx="6">
                  <c:v>597</c:v>
                </c:pt>
                <c:pt idx="7">
                  <c:v>484</c:v>
                </c:pt>
                <c:pt idx="8">
                  <c:v>364</c:v>
                </c:pt>
                <c:pt idx="9">
                  <c:v>314</c:v>
                </c:pt>
              </c:numCache>
            </c:numRef>
          </c:val>
          <c:extLst>
            <c:ext xmlns:c16="http://schemas.microsoft.com/office/drawing/2014/chart" uri="{C3380CC4-5D6E-409C-BE32-E72D297353CC}">
              <c16:uniqueId val="{00000000-0328-4206-9BB8-476F04F97FB0}"/>
            </c:ext>
          </c:extLst>
        </c:ser>
        <c:ser>
          <c:idx val="1"/>
          <c:order val="1"/>
          <c:tx>
            <c:strRef>
              <c:f>Sheet1!$F$5</c:f>
              <c:strCache>
                <c:ptCount val="1"/>
                <c:pt idx="0">
                  <c:v>Female</c:v>
                </c:pt>
              </c:strCache>
            </c:strRef>
          </c:tx>
          <c:spPr>
            <a:solidFill>
              <a:schemeClr val="accent2"/>
            </a:solidFill>
            <a:ln>
              <a:noFill/>
            </a:ln>
            <a:effectLst/>
          </c:spPr>
          <c:invertIfNegative val="0"/>
          <c:dLbls>
            <c:numFmt formatCode="#,##0;[Black]#,##0" sourceLinked="0"/>
            <c:spPr>
              <a:noFill/>
              <a:ln>
                <a:noFill/>
              </a:ln>
              <a:effectLst/>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Sheet1!$D$6:$D$15</c:f>
              <c:strCache>
                <c:ptCount val="10"/>
                <c:pt idx="0">
                  <c:v>Grade 1</c:v>
                </c:pt>
                <c:pt idx="1">
                  <c:v>Grade 2</c:v>
                </c:pt>
                <c:pt idx="2">
                  <c:v>Grade 3</c:v>
                </c:pt>
                <c:pt idx="3">
                  <c:v>Grade 4</c:v>
                </c:pt>
                <c:pt idx="4">
                  <c:v>Grade 5</c:v>
                </c:pt>
                <c:pt idx="5">
                  <c:v>Grade 6</c:v>
                </c:pt>
                <c:pt idx="6">
                  <c:v>Grade 7</c:v>
                </c:pt>
                <c:pt idx="7">
                  <c:v>Grade 8</c:v>
                </c:pt>
                <c:pt idx="8">
                  <c:v>Grade 9</c:v>
                </c:pt>
                <c:pt idx="9">
                  <c:v>Grade 10</c:v>
                </c:pt>
              </c:strCache>
            </c:strRef>
          </c:cat>
          <c:val>
            <c:numRef>
              <c:f>Sheet1!$F$6:$F$15</c:f>
              <c:numCache>
                <c:formatCode>General</c:formatCode>
                <c:ptCount val="10"/>
                <c:pt idx="0">
                  <c:v>-405</c:v>
                </c:pt>
                <c:pt idx="1">
                  <c:v>-136</c:v>
                </c:pt>
                <c:pt idx="2">
                  <c:v>-148</c:v>
                </c:pt>
                <c:pt idx="3">
                  <c:v>-297</c:v>
                </c:pt>
                <c:pt idx="4">
                  <c:v>-553</c:v>
                </c:pt>
                <c:pt idx="5">
                  <c:v>-720</c:v>
                </c:pt>
                <c:pt idx="6">
                  <c:v>-621</c:v>
                </c:pt>
                <c:pt idx="7">
                  <c:v>-463</c:v>
                </c:pt>
                <c:pt idx="8">
                  <c:v>-249</c:v>
                </c:pt>
                <c:pt idx="9">
                  <c:v>-150</c:v>
                </c:pt>
              </c:numCache>
            </c:numRef>
          </c:val>
          <c:extLst>
            <c:ext xmlns:c16="http://schemas.microsoft.com/office/drawing/2014/chart" uri="{C3380CC4-5D6E-409C-BE32-E72D297353CC}">
              <c16:uniqueId val="{00000001-0328-4206-9BB8-476F04F97FB0}"/>
            </c:ext>
          </c:extLst>
        </c:ser>
        <c:dLbls>
          <c:showLegendKey val="0"/>
          <c:showVal val="0"/>
          <c:showCatName val="0"/>
          <c:showSerName val="0"/>
          <c:showPercent val="0"/>
          <c:showBubbleSize val="0"/>
        </c:dLbls>
        <c:gapWidth val="0"/>
        <c:overlap val="100"/>
        <c:axId val="1928777968"/>
        <c:axId val="1928776880"/>
      </c:barChart>
      <c:catAx>
        <c:axId val="192877796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vert="horz"/>
          <a:lstStyle/>
          <a:p>
            <a:pPr>
              <a:defRPr/>
            </a:pPr>
            <a:endParaRPr lang="en-US"/>
          </a:p>
        </c:txPr>
        <c:crossAx val="1928776880"/>
        <c:crossesAt val="0"/>
        <c:auto val="1"/>
        <c:lblAlgn val="ctr"/>
        <c:lblOffset val="0"/>
        <c:noMultiLvlLbl val="0"/>
      </c:catAx>
      <c:valAx>
        <c:axId val="1928776880"/>
        <c:scaling>
          <c:orientation val="minMax"/>
        </c:scaling>
        <c:delete val="0"/>
        <c:axPos val="b"/>
        <c:majorGridlines>
          <c:spPr>
            <a:ln w="9525" cap="flat" cmpd="sng" algn="ctr">
              <a:solidFill>
                <a:schemeClr val="tx1">
                  <a:lumMod val="15000"/>
                  <a:lumOff val="85000"/>
                </a:schemeClr>
              </a:solidFill>
              <a:round/>
            </a:ln>
            <a:effectLst/>
          </c:spPr>
        </c:majorGridlines>
        <c:numFmt formatCode="#,##0;[Black]#,##0" sourceLinked="0"/>
        <c:majorTickMark val="none"/>
        <c:minorTickMark val="none"/>
        <c:tickLblPos val="nextTo"/>
        <c:spPr>
          <a:noFill/>
          <a:ln>
            <a:noFill/>
          </a:ln>
          <a:effectLst/>
        </c:spPr>
        <c:txPr>
          <a:bodyPr rot="0"/>
          <a:lstStyle/>
          <a:p>
            <a:pPr>
              <a:defRPr/>
            </a:pPr>
            <a:endParaRPr lang="en-US"/>
          </a:p>
        </c:txPr>
        <c:crossAx val="1928777968"/>
        <c:crosses val="autoZero"/>
        <c:crossBetween val="between"/>
      </c:val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ysClr val="windowText" lastClr="000000"/>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dk1"/>
                </a:solidFill>
                <a:latin typeface="+mn-lt"/>
                <a:ea typeface="+mn-ea"/>
                <a:cs typeface="+mn-cs"/>
              </a:defRPr>
            </a:pPr>
            <a:r>
              <a:rPr lang="en-GB" sz="1200" b="1"/>
              <a:t>Gender % by Job Group 2022</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dk1"/>
              </a:solidFill>
              <a:latin typeface="+mn-lt"/>
              <a:ea typeface="+mn-ea"/>
              <a:cs typeface="+mn-cs"/>
            </a:defRPr>
          </a:pPr>
          <a:endParaRPr lang="en-US"/>
        </a:p>
      </c:txPr>
    </c:title>
    <c:autoTitleDeleted val="0"/>
    <c:plotArea>
      <c:layout/>
      <c:barChart>
        <c:barDir val="col"/>
        <c:grouping val="percentStacked"/>
        <c:varyColors val="0"/>
        <c:ser>
          <c:idx val="0"/>
          <c:order val="0"/>
          <c:tx>
            <c:strRef>
              <c:f>Population!$O$79</c:f>
              <c:strCache>
                <c:ptCount val="1"/>
                <c:pt idx="0">
                  <c:v>Female</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Population!$K$80:$K$93</c:f>
              <c:strCache>
                <c:ptCount val="14"/>
                <c:pt idx="0">
                  <c:v>Academic Not ToR</c:v>
                </c:pt>
                <c:pt idx="1">
                  <c:v>Academic Research</c:v>
                </c:pt>
                <c:pt idx="2">
                  <c:v>Academic T&amp;R</c:v>
                </c:pt>
                <c:pt idx="3">
                  <c:v>Academic T&amp;S</c:v>
                </c:pt>
                <c:pt idx="4">
                  <c:v>Academic Teaching Only</c:v>
                </c:pt>
                <c:pt idx="5">
                  <c:v>Casual</c:v>
                </c:pt>
                <c:pt idx="6">
                  <c:v>Clerical</c:v>
                </c:pt>
                <c:pt idx="7">
                  <c:v>Clinical Research</c:v>
                </c:pt>
                <c:pt idx="8">
                  <c:v>Clinical T&amp;S</c:v>
                </c:pt>
                <c:pt idx="9">
                  <c:v>Clinical Teaching Only</c:v>
                </c:pt>
                <c:pt idx="10">
                  <c:v>Clinicial T&amp;R</c:v>
                </c:pt>
                <c:pt idx="11">
                  <c:v>Manual</c:v>
                </c:pt>
                <c:pt idx="12">
                  <c:v>PMSA</c:v>
                </c:pt>
                <c:pt idx="13">
                  <c:v>Technical</c:v>
                </c:pt>
              </c:strCache>
            </c:strRef>
          </c:cat>
          <c:val>
            <c:numRef>
              <c:f>Population!$O$80:$O$93</c:f>
              <c:numCache>
                <c:formatCode>0.0</c:formatCode>
                <c:ptCount val="14"/>
                <c:pt idx="0">
                  <c:v>55.555555555555557</c:v>
                </c:pt>
                <c:pt idx="1">
                  <c:v>45.271867612293143</c:v>
                </c:pt>
                <c:pt idx="2">
                  <c:v>34.572490706319705</c:v>
                </c:pt>
                <c:pt idx="3">
                  <c:v>54.901960784313722</c:v>
                </c:pt>
                <c:pt idx="4">
                  <c:v>49.684210526315788</c:v>
                </c:pt>
                <c:pt idx="5">
                  <c:v>66.355140186915889</c:v>
                </c:pt>
                <c:pt idx="6">
                  <c:v>78.21612349914237</c:v>
                </c:pt>
                <c:pt idx="7">
                  <c:v>51.724137931034484</c:v>
                </c:pt>
                <c:pt idx="8">
                  <c:v>53.623188405797102</c:v>
                </c:pt>
                <c:pt idx="9">
                  <c:v>75</c:v>
                </c:pt>
                <c:pt idx="10">
                  <c:v>23.655913978494624</c:v>
                </c:pt>
                <c:pt idx="11">
                  <c:v>73.055555555555557</c:v>
                </c:pt>
                <c:pt idx="12">
                  <c:v>63.538205980066444</c:v>
                </c:pt>
                <c:pt idx="13">
                  <c:v>42.443729903536976</c:v>
                </c:pt>
              </c:numCache>
            </c:numRef>
          </c:val>
          <c:extLst>
            <c:ext xmlns:c16="http://schemas.microsoft.com/office/drawing/2014/chart" uri="{C3380CC4-5D6E-409C-BE32-E72D297353CC}">
              <c16:uniqueId val="{00000000-3DD0-4E16-85BD-B7F1B045AA48}"/>
            </c:ext>
          </c:extLst>
        </c:ser>
        <c:ser>
          <c:idx val="1"/>
          <c:order val="1"/>
          <c:tx>
            <c:strRef>
              <c:f>Population!$P$79</c:f>
              <c:strCache>
                <c:ptCount val="1"/>
                <c:pt idx="0">
                  <c:v>Male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Population!$K$80:$K$93</c:f>
              <c:strCache>
                <c:ptCount val="14"/>
                <c:pt idx="0">
                  <c:v>Academic Not ToR</c:v>
                </c:pt>
                <c:pt idx="1">
                  <c:v>Academic Research</c:v>
                </c:pt>
                <c:pt idx="2">
                  <c:v>Academic T&amp;R</c:v>
                </c:pt>
                <c:pt idx="3">
                  <c:v>Academic T&amp;S</c:v>
                </c:pt>
                <c:pt idx="4">
                  <c:v>Academic Teaching Only</c:v>
                </c:pt>
                <c:pt idx="5">
                  <c:v>Casual</c:v>
                </c:pt>
                <c:pt idx="6">
                  <c:v>Clerical</c:v>
                </c:pt>
                <c:pt idx="7">
                  <c:v>Clinical Research</c:v>
                </c:pt>
                <c:pt idx="8">
                  <c:v>Clinical T&amp;S</c:v>
                </c:pt>
                <c:pt idx="9">
                  <c:v>Clinical Teaching Only</c:v>
                </c:pt>
                <c:pt idx="10">
                  <c:v>Clinicial T&amp;R</c:v>
                </c:pt>
                <c:pt idx="11">
                  <c:v>Manual</c:v>
                </c:pt>
                <c:pt idx="12">
                  <c:v>PMSA</c:v>
                </c:pt>
                <c:pt idx="13">
                  <c:v>Technical</c:v>
                </c:pt>
              </c:strCache>
            </c:strRef>
          </c:cat>
          <c:val>
            <c:numRef>
              <c:f>Population!$P$80:$P$93</c:f>
              <c:numCache>
                <c:formatCode>0.0</c:formatCode>
                <c:ptCount val="14"/>
                <c:pt idx="0">
                  <c:v>44.444444444444443</c:v>
                </c:pt>
                <c:pt idx="1">
                  <c:v>54.728132387706857</c:v>
                </c:pt>
                <c:pt idx="2">
                  <c:v>65.427509293680302</c:v>
                </c:pt>
                <c:pt idx="3">
                  <c:v>45.098039215686278</c:v>
                </c:pt>
                <c:pt idx="4">
                  <c:v>50.315789473684212</c:v>
                </c:pt>
                <c:pt idx="5">
                  <c:v>33.644859813084111</c:v>
                </c:pt>
                <c:pt idx="6">
                  <c:v>21.783876500857634</c:v>
                </c:pt>
                <c:pt idx="7">
                  <c:v>48.275862068965516</c:v>
                </c:pt>
                <c:pt idx="8">
                  <c:v>46.376811594202898</c:v>
                </c:pt>
                <c:pt idx="9">
                  <c:v>25</c:v>
                </c:pt>
                <c:pt idx="10">
                  <c:v>76.344086021505376</c:v>
                </c:pt>
                <c:pt idx="11">
                  <c:v>26.944444444444443</c:v>
                </c:pt>
                <c:pt idx="12">
                  <c:v>36.461794019933556</c:v>
                </c:pt>
                <c:pt idx="13">
                  <c:v>57.556270096463024</c:v>
                </c:pt>
              </c:numCache>
            </c:numRef>
          </c:val>
          <c:extLst>
            <c:ext xmlns:c16="http://schemas.microsoft.com/office/drawing/2014/chart" uri="{C3380CC4-5D6E-409C-BE32-E72D297353CC}">
              <c16:uniqueId val="{00000001-3DD0-4E16-85BD-B7F1B045AA48}"/>
            </c:ext>
          </c:extLst>
        </c:ser>
        <c:dLbls>
          <c:showLegendKey val="0"/>
          <c:showVal val="0"/>
          <c:showCatName val="0"/>
          <c:showSerName val="0"/>
          <c:showPercent val="0"/>
          <c:showBubbleSize val="0"/>
        </c:dLbls>
        <c:gapWidth val="150"/>
        <c:overlap val="100"/>
        <c:axId val="1051598336"/>
        <c:axId val="1052740640"/>
      </c:barChart>
      <c:catAx>
        <c:axId val="1051598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52740640"/>
        <c:crosses val="autoZero"/>
        <c:auto val="1"/>
        <c:lblAlgn val="ctr"/>
        <c:lblOffset val="100"/>
        <c:noMultiLvlLbl val="0"/>
      </c:catAx>
      <c:valAx>
        <c:axId val="10527406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05159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solidFill>
                <a:latin typeface="+mn-lt"/>
                <a:ea typeface="+mn-ea"/>
                <a:cs typeface="+mn-cs"/>
              </a:defRPr>
            </a:pPr>
            <a:r>
              <a:rPr lang="en-GB" sz="1200"/>
              <a:t>FPRE BAME+ Population by Grade 2022</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mn-lt"/>
              <a:ea typeface="+mn-ea"/>
              <a:cs typeface="+mn-cs"/>
            </a:defRPr>
          </a:pPr>
          <a:endParaRPr lang="en-US"/>
        </a:p>
      </c:txPr>
    </c:title>
    <c:autoTitleDeleted val="0"/>
    <c:plotArea>
      <c:layout/>
      <c:barChart>
        <c:barDir val="bar"/>
        <c:grouping val="clustered"/>
        <c:varyColors val="0"/>
        <c:ser>
          <c:idx val="0"/>
          <c:order val="0"/>
          <c:tx>
            <c:strRef>
              <c:f>Sheet1!$E$5</c:f>
              <c:strCache>
                <c:ptCount val="1"/>
                <c:pt idx="0">
                  <c:v>White British</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prstDash val="solid"/>
                      <a:round/>
                    </a:ln>
                    <a:effectLst/>
                  </c:spPr>
                </c15:leaderLines>
              </c:ext>
            </c:extLst>
          </c:dLbls>
          <c:cat>
            <c:strRef>
              <c:f>Sheet1!$D$6:$D$15</c:f>
              <c:strCache>
                <c:ptCount val="10"/>
                <c:pt idx="0">
                  <c:v>Grade 1</c:v>
                </c:pt>
                <c:pt idx="1">
                  <c:v>Grade 2</c:v>
                </c:pt>
                <c:pt idx="2">
                  <c:v>Grade 3</c:v>
                </c:pt>
                <c:pt idx="3">
                  <c:v>Grade 4</c:v>
                </c:pt>
                <c:pt idx="4">
                  <c:v>Grade 5</c:v>
                </c:pt>
                <c:pt idx="5">
                  <c:v>Grade 6</c:v>
                </c:pt>
                <c:pt idx="6">
                  <c:v>Grade 7</c:v>
                </c:pt>
                <c:pt idx="7">
                  <c:v>Grade 8</c:v>
                </c:pt>
                <c:pt idx="8">
                  <c:v>Grade 9</c:v>
                </c:pt>
                <c:pt idx="9">
                  <c:v>Grade 10</c:v>
                </c:pt>
              </c:strCache>
            </c:strRef>
          </c:cat>
          <c:val>
            <c:numRef>
              <c:f>Sheet1!$E$6:$E$15</c:f>
              <c:numCache>
                <c:formatCode>General</c:formatCode>
                <c:ptCount val="10"/>
                <c:pt idx="0">
                  <c:v>315</c:v>
                </c:pt>
                <c:pt idx="1">
                  <c:v>165</c:v>
                </c:pt>
                <c:pt idx="2">
                  <c:v>174</c:v>
                </c:pt>
                <c:pt idx="3">
                  <c:v>366</c:v>
                </c:pt>
                <c:pt idx="4">
                  <c:v>654</c:v>
                </c:pt>
                <c:pt idx="5">
                  <c:v>826</c:v>
                </c:pt>
                <c:pt idx="6">
                  <c:v>742</c:v>
                </c:pt>
                <c:pt idx="7">
                  <c:v>568</c:v>
                </c:pt>
                <c:pt idx="8">
                  <c:v>365</c:v>
                </c:pt>
                <c:pt idx="9">
                  <c:v>289</c:v>
                </c:pt>
              </c:numCache>
            </c:numRef>
          </c:val>
          <c:extLst>
            <c:ext xmlns:c16="http://schemas.microsoft.com/office/drawing/2014/chart" uri="{C3380CC4-5D6E-409C-BE32-E72D297353CC}">
              <c16:uniqueId val="{00000000-07A4-4F58-959A-451EA2FEFB0B}"/>
            </c:ext>
          </c:extLst>
        </c:ser>
        <c:ser>
          <c:idx val="1"/>
          <c:order val="1"/>
          <c:tx>
            <c:strRef>
              <c:f>Sheet1!$F$5</c:f>
              <c:strCache>
                <c:ptCount val="1"/>
                <c:pt idx="0">
                  <c:v>BAME+</c:v>
                </c:pt>
              </c:strCache>
            </c:strRef>
          </c:tx>
          <c:spPr>
            <a:solidFill>
              <a:schemeClr val="accent5"/>
            </a:solidFill>
            <a:ln>
              <a:noFill/>
            </a:ln>
            <a:effectLst/>
          </c:spPr>
          <c:invertIfNegative val="0"/>
          <c:dLbls>
            <c:numFmt formatCode="#,##0;[Black]#,##0" sourceLinked="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Sheet1!$D$6:$D$15</c:f>
              <c:strCache>
                <c:ptCount val="10"/>
                <c:pt idx="0">
                  <c:v>Grade 1</c:v>
                </c:pt>
                <c:pt idx="1">
                  <c:v>Grade 2</c:v>
                </c:pt>
                <c:pt idx="2">
                  <c:v>Grade 3</c:v>
                </c:pt>
                <c:pt idx="3">
                  <c:v>Grade 4</c:v>
                </c:pt>
                <c:pt idx="4">
                  <c:v>Grade 5</c:v>
                </c:pt>
                <c:pt idx="5">
                  <c:v>Grade 6</c:v>
                </c:pt>
                <c:pt idx="6">
                  <c:v>Grade 7</c:v>
                </c:pt>
                <c:pt idx="7">
                  <c:v>Grade 8</c:v>
                </c:pt>
                <c:pt idx="8">
                  <c:v>Grade 9</c:v>
                </c:pt>
                <c:pt idx="9">
                  <c:v>Grade 10</c:v>
                </c:pt>
              </c:strCache>
            </c:strRef>
          </c:cat>
          <c:val>
            <c:numRef>
              <c:f>Sheet1!$F$6:$F$15</c:f>
              <c:numCache>
                <c:formatCode>General</c:formatCode>
                <c:ptCount val="10"/>
                <c:pt idx="0">
                  <c:v>-173</c:v>
                </c:pt>
                <c:pt idx="1">
                  <c:v>-37</c:v>
                </c:pt>
                <c:pt idx="2">
                  <c:v>-39</c:v>
                </c:pt>
                <c:pt idx="3">
                  <c:v>-56</c:v>
                </c:pt>
                <c:pt idx="4">
                  <c:v>-86</c:v>
                </c:pt>
                <c:pt idx="5">
                  <c:v>-271</c:v>
                </c:pt>
                <c:pt idx="6">
                  <c:v>-384</c:v>
                </c:pt>
                <c:pt idx="7">
                  <c:v>-315</c:v>
                </c:pt>
                <c:pt idx="8">
                  <c:v>-214</c:v>
                </c:pt>
                <c:pt idx="9">
                  <c:v>-146</c:v>
                </c:pt>
              </c:numCache>
            </c:numRef>
          </c:val>
          <c:extLst>
            <c:ext xmlns:c16="http://schemas.microsoft.com/office/drawing/2014/chart" uri="{C3380CC4-5D6E-409C-BE32-E72D297353CC}">
              <c16:uniqueId val="{00000001-07A4-4F58-959A-451EA2FEFB0B}"/>
            </c:ext>
          </c:extLst>
        </c:ser>
        <c:dLbls>
          <c:showLegendKey val="0"/>
          <c:showVal val="0"/>
          <c:showCatName val="0"/>
          <c:showSerName val="0"/>
          <c:showPercent val="0"/>
          <c:showBubbleSize val="0"/>
        </c:dLbls>
        <c:gapWidth val="0"/>
        <c:overlap val="100"/>
        <c:axId val="1928777968"/>
        <c:axId val="1928776880"/>
      </c:barChart>
      <c:catAx>
        <c:axId val="192877796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1928776880"/>
        <c:crossesAt val="0"/>
        <c:auto val="1"/>
        <c:lblAlgn val="ctr"/>
        <c:lblOffset val="0"/>
        <c:noMultiLvlLbl val="0"/>
      </c:catAx>
      <c:valAx>
        <c:axId val="192877688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Black]#,##0" sourceLinked="0"/>
        <c:majorTickMark val="none"/>
        <c:minorTickMark val="none"/>
        <c:tickLblPos val="nextTo"/>
        <c:spPr>
          <a:noFill/>
          <a:ln w="6350" cap="flat" cmpd="sng" algn="ctr">
            <a:noFill/>
            <a:prstDash val="solid"/>
            <a:round/>
          </a:ln>
          <a:effectLst/>
        </c:spPr>
        <c:txPr>
          <a:bodyPr rot="0" spcFirstLastPara="1" vertOverflow="ellipsis" wrap="square" anchor="ctr" anchorCtr="1"/>
          <a:lstStyle/>
          <a:p>
            <a:pPr>
              <a:defRPr sz="1000" b="0" i="0" u="none" strike="noStrike" kern="1200" baseline="0">
                <a:solidFill>
                  <a:schemeClr val="dk1"/>
                </a:solidFill>
                <a:latin typeface="+mn-lt"/>
                <a:ea typeface="+mn-ea"/>
                <a:cs typeface="+mn-cs"/>
              </a:defRPr>
            </a:pPr>
            <a:endParaRPr lang="en-US"/>
          </a:p>
        </c:txPr>
        <c:crossAx val="192877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solidFill>
                <a:latin typeface="+mn-lt"/>
                <a:ea typeface="+mn-ea"/>
                <a:cs typeface="+mn-cs"/>
              </a:defRPr>
            </a:pPr>
            <a:r>
              <a:rPr lang="en-GB" sz="1200"/>
              <a:t>FPRE POC Population by Grade 2022</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solidFill>
              <a:latin typeface="+mn-lt"/>
              <a:ea typeface="+mn-ea"/>
              <a:cs typeface="+mn-cs"/>
            </a:defRPr>
          </a:pPr>
          <a:endParaRPr lang="en-US"/>
        </a:p>
      </c:txPr>
    </c:title>
    <c:autoTitleDeleted val="0"/>
    <c:plotArea>
      <c:layout/>
      <c:barChart>
        <c:barDir val="bar"/>
        <c:grouping val="clustered"/>
        <c:varyColors val="0"/>
        <c:ser>
          <c:idx val="0"/>
          <c:order val="0"/>
          <c:tx>
            <c:strRef>
              <c:f>Sheet1!$E$5</c:f>
              <c:strCache>
                <c:ptCount val="1"/>
                <c:pt idx="0">
                  <c:v>White</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prstDash val="solid"/>
                      <a:round/>
                    </a:ln>
                    <a:effectLst/>
                  </c:spPr>
                </c15:leaderLines>
              </c:ext>
            </c:extLst>
          </c:dLbls>
          <c:cat>
            <c:strRef>
              <c:f>Sheet1!$D$6:$D$15</c:f>
              <c:strCache>
                <c:ptCount val="10"/>
                <c:pt idx="0">
                  <c:v>Grade 1</c:v>
                </c:pt>
                <c:pt idx="1">
                  <c:v>Grade 2</c:v>
                </c:pt>
                <c:pt idx="2">
                  <c:v>Grade 3</c:v>
                </c:pt>
                <c:pt idx="3">
                  <c:v>Grade 4</c:v>
                </c:pt>
                <c:pt idx="4">
                  <c:v>Grade 5</c:v>
                </c:pt>
                <c:pt idx="5">
                  <c:v>Grade 6</c:v>
                </c:pt>
                <c:pt idx="6">
                  <c:v>Grade 7</c:v>
                </c:pt>
                <c:pt idx="7">
                  <c:v>Grade 8</c:v>
                </c:pt>
                <c:pt idx="8">
                  <c:v>Grade 9</c:v>
                </c:pt>
                <c:pt idx="9">
                  <c:v>Grade 10</c:v>
                </c:pt>
              </c:strCache>
            </c:strRef>
          </c:cat>
          <c:val>
            <c:numRef>
              <c:f>Sheet1!$E$6:$E$15</c:f>
              <c:numCache>
                <c:formatCode>General</c:formatCode>
                <c:ptCount val="10"/>
                <c:pt idx="0">
                  <c:v>349</c:v>
                </c:pt>
                <c:pt idx="1">
                  <c:v>181</c:v>
                </c:pt>
                <c:pt idx="2">
                  <c:v>180</c:v>
                </c:pt>
                <c:pt idx="3">
                  <c:v>384</c:v>
                </c:pt>
                <c:pt idx="4">
                  <c:v>696</c:v>
                </c:pt>
                <c:pt idx="5">
                  <c:v>960</c:v>
                </c:pt>
                <c:pt idx="6">
                  <c:v>937</c:v>
                </c:pt>
                <c:pt idx="7">
                  <c:v>738</c:v>
                </c:pt>
                <c:pt idx="8">
                  <c:v>513</c:v>
                </c:pt>
                <c:pt idx="9">
                  <c:v>207</c:v>
                </c:pt>
              </c:numCache>
            </c:numRef>
          </c:val>
          <c:extLst>
            <c:ext xmlns:c16="http://schemas.microsoft.com/office/drawing/2014/chart" uri="{C3380CC4-5D6E-409C-BE32-E72D297353CC}">
              <c16:uniqueId val="{00000000-04D3-4071-B7B9-777ED6295F87}"/>
            </c:ext>
          </c:extLst>
        </c:ser>
        <c:ser>
          <c:idx val="1"/>
          <c:order val="1"/>
          <c:tx>
            <c:strRef>
              <c:f>Sheet1!$F$5</c:f>
              <c:strCache>
                <c:ptCount val="1"/>
                <c:pt idx="0">
                  <c:v>POC</c:v>
                </c:pt>
              </c:strCache>
            </c:strRef>
          </c:tx>
          <c:spPr>
            <a:solidFill>
              <a:schemeClr val="accent4"/>
            </a:solidFill>
            <a:ln>
              <a:noFill/>
            </a:ln>
            <a:effectLst/>
          </c:spPr>
          <c:invertIfNegative val="0"/>
          <c:dLbls>
            <c:numFmt formatCode="#,##0;[Black]#,##0" sourceLinked="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Sheet1!$D$6:$D$15</c:f>
              <c:strCache>
                <c:ptCount val="10"/>
                <c:pt idx="0">
                  <c:v>Grade 1</c:v>
                </c:pt>
                <c:pt idx="1">
                  <c:v>Grade 2</c:v>
                </c:pt>
                <c:pt idx="2">
                  <c:v>Grade 3</c:v>
                </c:pt>
                <c:pt idx="3">
                  <c:v>Grade 4</c:v>
                </c:pt>
                <c:pt idx="4">
                  <c:v>Grade 5</c:v>
                </c:pt>
                <c:pt idx="5">
                  <c:v>Grade 6</c:v>
                </c:pt>
                <c:pt idx="6">
                  <c:v>Grade 7</c:v>
                </c:pt>
                <c:pt idx="7">
                  <c:v>Grade 8</c:v>
                </c:pt>
                <c:pt idx="8">
                  <c:v>Grade 9</c:v>
                </c:pt>
                <c:pt idx="9">
                  <c:v>Grade 10</c:v>
                </c:pt>
              </c:strCache>
            </c:strRef>
          </c:cat>
          <c:val>
            <c:numRef>
              <c:f>Sheet1!$F$6:$F$15</c:f>
              <c:numCache>
                <c:formatCode>General</c:formatCode>
                <c:ptCount val="10"/>
                <c:pt idx="0">
                  <c:v>-139</c:v>
                </c:pt>
                <c:pt idx="1">
                  <c:v>-21</c:v>
                </c:pt>
                <c:pt idx="2">
                  <c:v>-33</c:v>
                </c:pt>
                <c:pt idx="3">
                  <c:v>-38</c:v>
                </c:pt>
                <c:pt idx="4">
                  <c:v>-44</c:v>
                </c:pt>
                <c:pt idx="5">
                  <c:v>-137</c:v>
                </c:pt>
                <c:pt idx="6">
                  <c:v>-189</c:v>
                </c:pt>
                <c:pt idx="7">
                  <c:v>-145</c:v>
                </c:pt>
                <c:pt idx="8">
                  <c:v>-65</c:v>
                </c:pt>
                <c:pt idx="9">
                  <c:v>-40</c:v>
                </c:pt>
              </c:numCache>
            </c:numRef>
          </c:val>
          <c:extLst>
            <c:ext xmlns:c16="http://schemas.microsoft.com/office/drawing/2014/chart" uri="{C3380CC4-5D6E-409C-BE32-E72D297353CC}">
              <c16:uniqueId val="{00000001-04D3-4071-B7B9-777ED6295F87}"/>
            </c:ext>
          </c:extLst>
        </c:ser>
        <c:dLbls>
          <c:showLegendKey val="0"/>
          <c:showVal val="0"/>
          <c:showCatName val="0"/>
          <c:showSerName val="0"/>
          <c:showPercent val="0"/>
          <c:showBubbleSize val="0"/>
        </c:dLbls>
        <c:gapWidth val="0"/>
        <c:overlap val="100"/>
        <c:axId val="1928777968"/>
        <c:axId val="1928776880"/>
      </c:barChart>
      <c:catAx>
        <c:axId val="192877796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crossAx val="1928776880"/>
        <c:crossesAt val="0"/>
        <c:auto val="1"/>
        <c:lblAlgn val="ctr"/>
        <c:lblOffset val="0"/>
        <c:noMultiLvlLbl val="0"/>
      </c:catAx>
      <c:valAx>
        <c:axId val="1928776880"/>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0;[Black]#,##0" sourceLinked="0"/>
        <c:majorTickMark val="none"/>
        <c:minorTickMark val="none"/>
        <c:tickLblPos val="nextTo"/>
        <c:spPr>
          <a:noFill/>
          <a:ln w="6350" cap="flat" cmpd="sng" algn="ctr">
            <a:noFill/>
            <a:prstDash val="solid"/>
            <a:round/>
          </a:ln>
          <a:effectLst/>
        </c:spPr>
        <c:txPr>
          <a:bodyPr rot="0" spcFirstLastPara="1" vertOverflow="ellipsis" wrap="square" anchor="ctr" anchorCtr="1"/>
          <a:lstStyle/>
          <a:p>
            <a:pPr>
              <a:defRPr sz="1000" b="0" i="0" u="none" strike="noStrike" kern="1200" baseline="0">
                <a:solidFill>
                  <a:schemeClr val="dk1"/>
                </a:solidFill>
                <a:latin typeface="+mn-lt"/>
                <a:ea typeface="+mn-ea"/>
                <a:cs typeface="+mn-cs"/>
              </a:defRPr>
            </a:pPr>
            <a:endParaRPr lang="en-US"/>
          </a:p>
        </c:txPr>
        <c:crossAx val="192877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dk1"/>
                </a:solidFill>
                <a:latin typeface="+mn-lt"/>
                <a:ea typeface="+mn-ea"/>
                <a:cs typeface="+mn-cs"/>
              </a:defRPr>
            </a:pPr>
            <a:r>
              <a:rPr lang="en-GB" sz="1200" b="1"/>
              <a:t>% Distribution of POC and White FPRE by Job Group 2022</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'POC Pop'!$R$135</c:f>
              <c:strCache>
                <c:ptCount val="1"/>
                <c:pt idx="0">
                  <c:v>POC</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'POC Pop'!$K$136:$K$149</c:f>
              <c:strCache>
                <c:ptCount val="14"/>
                <c:pt idx="0">
                  <c:v>ANToR</c:v>
                </c:pt>
                <c:pt idx="1">
                  <c:v>Casual</c:v>
                </c:pt>
                <c:pt idx="2">
                  <c:v>Clerical</c:v>
                </c:pt>
                <c:pt idx="3">
                  <c:v>Clinical Research</c:v>
                </c:pt>
                <c:pt idx="4">
                  <c:v>Clinical T&amp;S</c:v>
                </c:pt>
                <c:pt idx="5">
                  <c:v>Clinical Teaching</c:v>
                </c:pt>
                <c:pt idx="6">
                  <c:v>Clinicial T&amp;R</c:v>
                </c:pt>
                <c:pt idx="7">
                  <c:v>Manual</c:v>
                </c:pt>
                <c:pt idx="8">
                  <c:v>PMSA</c:v>
                </c:pt>
                <c:pt idx="9">
                  <c:v>Research</c:v>
                </c:pt>
                <c:pt idx="10">
                  <c:v>T&amp;R</c:v>
                </c:pt>
                <c:pt idx="11">
                  <c:v>T&amp;S</c:v>
                </c:pt>
                <c:pt idx="12">
                  <c:v>Teaching Only</c:v>
                </c:pt>
                <c:pt idx="13">
                  <c:v>Technical</c:v>
                </c:pt>
              </c:strCache>
            </c:strRef>
          </c:cat>
          <c:val>
            <c:numRef>
              <c:f>'POC Pop'!$R$136:$R$149</c:f>
              <c:numCache>
                <c:formatCode>0.00</c:formatCode>
                <c:ptCount val="14"/>
                <c:pt idx="0">
                  <c:v>0</c:v>
                </c:pt>
                <c:pt idx="1">
                  <c:v>16.910935738444195</c:v>
                </c:pt>
                <c:pt idx="2">
                  <c:v>13.979706877113866</c:v>
                </c:pt>
                <c:pt idx="3">
                  <c:v>0.56369785794813976</c:v>
                </c:pt>
                <c:pt idx="4">
                  <c:v>0.90191657271702363</c:v>
                </c:pt>
                <c:pt idx="5">
                  <c:v>1.0146561443066517</c:v>
                </c:pt>
                <c:pt idx="6">
                  <c:v>1.4656144306651635</c:v>
                </c:pt>
                <c:pt idx="7">
                  <c:v>1.9165727170236753</c:v>
                </c:pt>
                <c:pt idx="8">
                  <c:v>8.1172491544532139</c:v>
                </c:pt>
                <c:pt idx="9">
                  <c:v>21.307779030439683</c:v>
                </c:pt>
                <c:pt idx="10">
                  <c:v>20.293122886133034</c:v>
                </c:pt>
                <c:pt idx="11">
                  <c:v>3.7204058624577225</c:v>
                </c:pt>
                <c:pt idx="12">
                  <c:v>6.08793686583991</c:v>
                </c:pt>
                <c:pt idx="13">
                  <c:v>3.7204058624577225</c:v>
                </c:pt>
              </c:numCache>
            </c:numRef>
          </c:val>
          <c:extLst>
            <c:ext xmlns:c16="http://schemas.microsoft.com/office/drawing/2014/chart" uri="{C3380CC4-5D6E-409C-BE32-E72D297353CC}">
              <c16:uniqueId val="{00000000-E625-4C1F-A116-2C8295B9B119}"/>
            </c:ext>
          </c:extLst>
        </c:ser>
        <c:ser>
          <c:idx val="1"/>
          <c:order val="1"/>
          <c:tx>
            <c:strRef>
              <c:f>'POC Pop'!$S$135</c:f>
              <c:strCache>
                <c:ptCount val="1"/>
                <c:pt idx="0">
                  <c:v>White</c:v>
                </c:pt>
              </c:strCache>
            </c:strRef>
          </c:tx>
          <c:spPr>
            <a:solidFill>
              <a:schemeClr val="accent4"/>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'POC Pop'!$K$136:$K$149</c:f>
              <c:strCache>
                <c:ptCount val="14"/>
                <c:pt idx="0">
                  <c:v>ANToR</c:v>
                </c:pt>
                <c:pt idx="1">
                  <c:v>Casual</c:v>
                </c:pt>
                <c:pt idx="2">
                  <c:v>Clerical</c:v>
                </c:pt>
                <c:pt idx="3">
                  <c:v>Clinical Research</c:v>
                </c:pt>
                <c:pt idx="4">
                  <c:v>Clinical T&amp;S</c:v>
                </c:pt>
                <c:pt idx="5">
                  <c:v>Clinical Teaching</c:v>
                </c:pt>
                <c:pt idx="6">
                  <c:v>Clinicial T&amp;R</c:v>
                </c:pt>
                <c:pt idx="7">
                  <c:v>Manual</c:v>
                </c:pt>
                <c:pt idx="8">
                  <c:v>PMSA</c:v>
                </c:pt>
                <c:pt idx="9">
                  <c:v>Research</c:v>
                </c:pt>
                <c:pt idx="10">
                  <c:v>T&amp;R</c:v>
                </c:pt>
                <c:pt idx="11">
                  <c:v>T&amp;S</c:v>
                </c:pt>
                <c:pt idx="12">
                  <c:v>Teaching Only</c:v>
                </c:pt>
                <c:pt idx="13">
                  <c:v>Technical</c:v>
                </c:pt>
              </c:strCache>
            </c:strRef>
          </c:cat>
          <c:val>
            <c:numRef>
              <c:f>'POC Pop'!$S$136:$S$149</c:f>
              <c:numCache>
                <c:formatCode>0.00</c:formatCode>
                <c:ptCount val="14"/>
                <c:pt idx="0">
                  <c:v>0.14378145219266714</c:v>
                </c:pt>
                <c:pt idx="1">
                  <c:v>6.3263838964773544</c:v>
                </c:pt>
                <c:pt idx="2">
                  <c:v>17.271746944644139</c:v>
                </c:pt>
                <c:pt idx="3">
                  <c:v>0.32350826743350108</c:v>
                </c:pt>
                <c:pt idx="4">
                  <c:v>1.0064701653486701</c:v>
                </c:pt>
                <c:pt idx="5">
                  <c:v>1.1322789360172538</c:v>
                </c:pt>
                <c:pt idx="6">
                  <c:v>1.2580877066858376</c:v>
                </c:pt>
                <c:pt idx="7">
                  <c:v>6.0388209920920204</c:v>
                </c:pt>
                <c:pt idx="8">
                  <c:v>19.572250179726815</c:v>
                </c:pt>
                <c:pt idx="9">
                  <c:v>9.615384615384615</c:v>
                </c:pt>
                <c:pt idx="10">
                  <c:v>15.061107117181884</c:v>
                </c:pt>
                <c:pt idx="11">
                  <c:v>6.3803019410496047</c:v>
                </c:pt>
                <c:pt idx="12">
                  <c:v>6.1826024442846874</c:v>
                </c:pt>
                <c:pt idx="13">
                  <c:v>9.6872753414809498</c:v>
                </c:pt>
              </c:numCache>
            </c:numRef>
          </c:val>
          <c:extLst>
            <c:ext xmlns:c16="http://schemas.microsoft.com/office/drawing/2014/chart" uri="{C3380CC4-5D6E-409C-BE32-E72D297353CC}">
              <c16:uniqueId val="{00000001-E625-4C1F-A116-2C8295B9B119}"/>
            </c:ext>
          </c:extLst>
        </c:ser>
        <c:dLbls>
          <c:showLegendKey val="0"/>
          <c:showVal val="0"/>
          <c:showCatName val="0"/>
          <c:showSerName val="0"/>
          <c:showPercent val="0"/>
          <c:showBubbleSize val="0"/>
        </c:dLbls>
        <c:gapWidth val="219"/>
        <c:overlap val="-27"/>
        <c:axId val="1875171376"/>
        <c:axId val="1345026592"/>
      </c:barChart>
      <c:catAx>
        <c:axId val="1875171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345026592"/>
        <c:crosses val="autoZero"/>
        <c:auto val="1"/>
        <c:lblAlgn val="ctr"/>
        <c:lblOffset val="100"/>
        <c:noMultiLvlLbl val="0"/>
      </c:catAx>
      <c:valAx>
        <c:axId val="1345026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875171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GB" sz="1200" b="1"/>
              <a:t>% Distribution of LGBO and Heterosexual FPRE by Pay Grade 2022</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'LGBO Pop'!$K$116</c:f>
              <c:strCache>
                <c:ptCount val="1"/>
                <c:pt idx="0">
                  <c:v>LGBO</c:v>
                </c:pt>
              </c:strCache>
            </c:strRef>
          </c:tx>
          <c:spPr>
            <a:solidFill>
              <a:srgbClr val="C00000"/>
            </a:solidFill>
            <a:ln>
              <a:solidFill>
                <a:schemeClr val="tx1">
                  <a:lumMod val="95000"/>
                  <a:lumOff val="5000"/>
                </a:schemeClr>
              </a:solid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'LGBO Pop'!$L$109:$U$109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'LGBO Pop'!$L$116:$U$116</c:f>
              <c:numCache>
                <c:formatCode>0.0</c:formatCode>
                <c:ptCount val="10"/>
                <c:pt idx="0">
                  <c:v>8.0996884735202492</c:v>
                </c:pt>
                <c:pt idx="1">
                  <c:v>3.4267912772585669</c:v>
                </c:pt>
                <c:pt idx="2">
                  <c:v>7.1651090342679131</c:v>
                </c:pt>
                <c:pt idx="3">
                  <c:v>4.361370716510903</c:v>
                </c:pt>
                <c:pt idx="4">
                  <c:v>9.657320872274143</c:v>
                </c:pt>
                <c:pt idx="5">
                  <c:v>19.314641744548286</c:v>
                </c:pt>
                <c:pt idx="6">
                  <c:v>26.168224299065422</c:v>
                </c:pt>
                <c:pt idx="7">
                  <c:v>10.903426791277258</c:v>
                </c:pt>
                <c:pt idx="8">
                  <c:v>6.2305295950155761</c:v>
                </c:pt>
                <c:pt idx="9">
                  <c:v>4.6728971962616823</c:v>
                </c:pt>
              </c:numCache>
            </c:numRef>
          </c:val>
          <c:extLst>
            <c:ext xmlns:c16="http://schemas.microsoft.com/office/drawing/2014/chart" uri="{C3380CC4-5D6E-409C-BE32-E72D297353CC}">
              <c16:uniqueId val="{00000000-26C3-4F8B-9F6C-31B16B7F44DE}"/>
            </c:ext>
          </c:extLst>
        </c:ser>
        <c:ser>
          <c:idx val="1"/>
          <c:order val="1"/>
          <c:tx>
            <c:strRef>
              <c:f>'LGBO Pop'!$K$117</c:f>
              <c:strCache>
                <c:ptCount val="1"/>
                <c:pt idx="0">
                  <c:v>Hetero</c:v>
                </c:pt>
              </c:strCache>
            </c:strRef>
          </c:tx>
          <c:spPr>
            <a:solidFill>
              <a:srgbClr val="FF0000"/>
            </a:solidFill>
            <a:ln>
              <a:noFill/>
            </a:ln>
            <a:effectLst/>
          </c:spPr>
          <c:invertIfNegative val="0"/>
          <c:dLbls>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'LGBO Pop'!$L$109:$U$109</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'LGBO Pop'!$L$117:$U$117</c:f>
              <c:numCache>
                <c:formatCode>0.0</c:formatCode>
                <c:ptCount val="10"/>
                <c:pt idx="0">
                  <c:v>8.4035580524344571</c:v>
                </c:pt>
                <c:pt idx="1">
                  <c:v>3.3005617977528088</c:v>
                </c:pt>
                <c:pt idx="2">
                  <c:v>3.2771535580524342</c:v>
                </c:pt>
                <c:pt idx="3">
                  <c:v>6.7649812734082397</c:v>
                </c:pt>
                <c:pt idx="4">
                  <c:v>12.242509363295881</c:v>
                </c:pt>
                <c:pt idx="5">
                  <c:v>18.632958801498127</c:v>
                </c:pt>
                <c:pt idx="6">
                  <c:v>19.311797752808989</c:v>
                </c:pt>
                <c:pt idx="7">
                  <c:v>14.72378277153558</c:v>
                </c:pt>
                <c:pt idx="8">
                  <c:v>8.2162921348314608</c:v>
                </c:pt>
                <c:pt idx="9">
                  <c:v>5.1264044943820224</c:v>
                </c:pt>
              </c:numCache>
            </c:numRef>
          </c:val>
          <c:extLst>
            <c:ext xmlns:c16="http://schemas.microsoft.com/office/drawing/2014/chart" uri="{C3380CC4-5D6E-409C-BE32-E72D297353CC}">
              <c16:uniqueId val="{00000001-26C3-4F8B-9F6C-31B16B7F44DE}"/>
            </c:ext>
          </c:extLst>
        </c:ser>
        <c:dLbls>
          <c:showLegendKey val="0"/>
          <c:showVal val="0"/>
          <c:showCatName val="0"/>
          <c:showSerName val="0"/>
          <c:showPercent val="0"/>
          <c:showBubbleSize val="0"/>
        </c:dLbls>
        <c:gapWidth val="219"/>
        <c:overlap val="-27"/>
        <c:axId val="1051495936"/>
        <c:axId val="1306310912"/>
      </c:barChart>
      <c:catAx>
        <c:axId val="105149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306310912"/>
        <c:crosses val="autoZero"/>
        <c:auto val="1"/>
        <c:lblAlgn val="ctr"/>
        <c:lblOffset val="100"/>
        <c:noMultiLvlLbl val="0"/>
      </c:catAx>
      <c:valAx>
        <c:axId val="13063109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05149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ysClr val="windowText" lastClr="000000"/>
          </a:solidFill>
          <a:latin typeface="+mn-lt"/>
          <a:ea typeface="+mn-ea"/>
          <a:cs typeface="+mn-cs"/>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GB" sz="1200" b="1"/>
              <a:t>2021 Median GPG: North West Universities</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9"/>
            <c:invertIfNegative val="0"/>
            <c:bubble3D val="0"/>
            <c:spPr>
              <a:solidFill>
                <a:srgbClr val="FF0000"/>
              </a:solidFill>
              <a:ln>
                <a:noFill/>
              </a:ln>
              <a:effectLst/>
            </c:spPr>
            <c:extLst>
              <c:ext xmlns:c16="http://schemas.microsoft.com/office/drawing/2014/chart" uri="{C3380CC4-5D6E-409C-BE32-E72D297353CC}">
                <c16:uniqueId val="{00000001-A465-46A7-8FF9-88C08BDDD69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'Compared GPG Data 2021-22'!$A$32:$A$44</c:f>
              <c:strCache>
                <c:ptCount val="13"/>
                <c:pt idx="0">
                  <c:v>MMU</c:v>
                </c:pt>
                <c:pt idx="1">
                  <c:v>Hope</c:v>
                </c:pt>
                <c:pt idx="2">
                  <c:v>UCLAN</c:v>
                </c:pt>
                <c:pt idx="3">
                  <c:v>LSTM</c:v>
                </c:pt>
                <c:pt idx="4">
                  <c:v>Manchester</c:v>
                </c:pt>
                <c:pt idx="5">
                  <c:v>Cumbria</c:v>
                </c:pt>
                <c:pt idx="6">
                  <c:v>Salford</c:v>
                </c:pt>
                <c:pt idx="7">
                  <c:v>Edge Hill</c:v>
                </c:pt>
                <c:pt idx="8">
                  <c:v>Chester</c:v>
                </c:pt>
                <c:pt idx="9">
                  <c:v>Liverpool</c:v>
                </c:pt>
                <c:pt idx="10">
                  <c:v>LIPA</c:v>
                </c:pt>
                <c:pt idx="11">
                  <c:v>Lancaster</c:v>
                </c:pt>
                <c:pt idx="12">
                  <c:v>LJMU</c:v>
                </c:pt>
              </c:strCache>
            </c:strRef>
          </c:cat>
          <c:val>
            <c:numRef>
              <c:f>'Compared GPG Data 2021-22'!$D$32:$D$44</c:f>
              <c:numCache>
                <c:formatCode>General</c:formatCode>
                <c:ptCount val="13"/>
                <c:pt idx="0">
                  <c:v>3.2</c:v>
                </c:pt>
                <c:pt idx="1">
                  <c:v>8.5</c:v>
                </c:pt>
                <c:pt idx="2">
                  <c:v>8.5</c:v>
                </c:pt>
                <c:pt idx="3">
                  <c:v>8.6999999999999993</c:v>
                </c:pt>
                <c:pt idx="4">
                  <c:v>11.1</c:v>
                </c:pt>
                <c:pt idx="5">
                  <c:v>11.1</c:v>
                </c:pt>
                <c:pt idx="6">
                  <c:v>11.1</c:v>
                </c:pt>
                <c:pt idx="7">
                  <c:v>11.4</c:v>
                </c:pt>
                <c:pt idx="8">
                  <c:v>14</c:v>
                </c:pt>
                <c:pt idx="9">
                  <c:v>14.2</c:v>
                </c:pt>
                <c:pt idx="10">
                  <c:v>14.6</c:v>
                </c:pt>
                <c:pt idx="11">
                  <c:v>21.6</c:v>
                </c:pt>
                <c:pt idx="12">
                  <c:v>24.6</c:v>
                </c:pt>
              </c:numCache>
            </c:numRef>
          </c:val>
          <c:extLst>
            <c:ext xmlns:c16="http://schemas.microsoft.com/office/drawing/2014/chart" uri="{C3380CC4-5D6E-409C-BE32-E72D297353CC}">
              <c16:uniqueId val="{00000002-A465-46A7-8FF9-88C08BDDD699}"/>
            </c:ext>
          </c:extLst>
        </c:ser>
        <c:dLbls>
          <c:showLegendKey val="0"/>
          <c:showVal val="0"/>
          <c:showCatName val="0"/>
          <c:showSerName val="0"/>
          <c:showPercent val="0"/>
          <c:showBubbleSize val="0"/>
        </c:dLbls>
        <c:gapWidth val="182"/>
        <c:axId val="1415701328"/>
        <c:axId val="1164697088"/>
      </c:barChart>
      <c:catAx>
        <c:axId val="1415701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164697088"/>
        <c:crosses val="autoZero"/>
        <c:auto val="1"/>
        <c:lblAlgn val="ctr"/>
        <c:lblOffset val="100"/>
        <c:noMultiLvlLbl val="0"/>
      </c:catAx>
      <c:valAx>
        <c:axId val="1164697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157013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ysClr val="windowText" lastClr="000000"/>
          </a:solidFill>
          <a:latin typeface="+mn-lt"/>
          <a:ea typeface="+mn-ea"/>
          <a:cs typeface="+mn-cs"/>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dk1"/>
                </a:solidFill>
                <a:latin typeface="+mn-lt"/>
                <a:ea typeface="+mn-ea"/>
                <a:cs typeface="+mn-cs"/>
              </a:defRPr>
            </a:pPr>
            <a:r>
              <a:rPr lang="en-GB" sz="1200" b="1"/>
              <a:t>2021 Median GPG: Russell Group</a:t>
            </a:r>
          </a:p>
        </c:rich>
      </c:tx>
      <c:overlay val="0"/>
      <c:spPr>
        <a:noFill/>
        <a:ln>
          <a:noFill/>
        </a:ln>
        <a:effectLst/>
      </c:spPr>
      <c:txPr>
        <a:bodyPr rot="0" spcFirstLastPara="1" vertOverflow="ellipsis" vert="horz" wrap="square" anchor="ctr" anchorCtr="1"/>
        <a:lstStyle/>
        <a:p>
          <a:pPr>
            <a:defRPr sz="1200" b="1" i="0" u="none" strike="noStrike" kern="1200" spc="0" baseline="0">
              <a:solidFill>
                <a:schemeClr val="dk1"/>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Pt>
            <c:idx val="12"/>
            <c:invertIfNegative val="0"/>
            <c:bubble3D val="0"/>
            <c:spPr>
              <a:solidFill>
                <a:srgbClr val="FF0000"/>
              </a:solidFill>
              <a:ln>
                <a:noFill/>
              </a:ln>
              <a:effectLst/>
            </c:spPr>
            <c:extLst>
              <c:ext xmlns:c16="http://schemas.microsoft.com/office/drawing/2014/chart" uri="{C3380CC4-5D6E-409C-BE32-E72D297353CC}">
                <c16:uniqueId val="{00000001-CB36-40F1-929D-777ABCD9A518}"/>
              </c:ext>
            </c:extLst>
          </c:dPt>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'Compared GPG Data 2021-22'!$A$2:$A$22</c:f>
              <c:strCache>
                <c:ptCount val="21"/>
                <c:pt idx="0">
                  <c:v>LSE</c:v>
                </c:pt>
                <c:pt idx="1">
                  <c:v>Imperial</c:v>
                </c:pt>
                <c:pt idx="2">
                  <c:v>UCL</c:v>
                </c:pt>
                <c:pt idx="3">
                  <c:v>Sheffield</c:v>
                </c:pt>
                <c:pt idx="4">
                  <c:v>Cambridge</c:v>
                </c:pt>
                <c:pt idx="5">
                  <c:v>Kings College</c:v>
                </c:pt>
                <c:pt idx="6">
                  <c:v>Queen Mary</c:v>
                </c:pt>
                <c:pt idx="7">
                  <c:v>Oxford</c:v>
                </c:pt>
                <c:pt idx="8">
                  <c:v>Bristol</c:v>
                </c:pt>
                <c:pt idx="9">
                  <c:v>Manchester</c:v>
                </c:pt>
                <c:pt idx="10">
                  <c:v>Leeds</c:v>
                </c:pt>
                <c:pt idx="11">
                  <c:v>Cardiff</c:v>
                </c:pt>
                <c:pt idx="12">
                  <c:v>Liverpool</c:v>
                </c:pt>
                <c:pt idx="13">
                  <c:v>York</c:v>
                </c:pt>
                <c:pt idx="14">
                  <c:v>Newcastle</c:v>
                </c:pt>
                <c:pt idx="15">
                  <c:v>Birmingham</c:v>
                </c:pt>
                <c:pt idx="16">
                  <c:v>Nottingham</c:v>
                </c:pt>
                <c:pt idx="17">
                  <c:v>Warwick</c:v>
                </c:pt>
                <c:pt idx="18">
                  <c:v>Southampton</c:v>
                </c:pt>
                <c:pt idx="19">
                  <c:v>Durham</c:v>
                </c:pt>
                <c:pt idx="20">
                  <c:v>Exeter</c:v>
                </c:pt>
              </c:strCache>
            </c:strRef>
          </c:cat>
          <c:val>
            <c:numRef>
              <c:f>'Compared GPG Data 2021-22'!$D$2:$D$22</c:f>
              <c:numCache>
                <c:formatCode>General</c:formatCode>
                <c:ptCount val="21"/>
                <c:pt idx="0">
                  <c:v>6.1</c:v>
                </c:pt>
                <c:pt idx="1">
                  <c:v>6.3</c:v>
                </c:pt>
                <c:pt idx="2">
                  <c:v>7.8</c:v>
                </c:pt>
                <c:pt idx="3">
                  <c:v>8.4</c:v>
                </c:pt>
                <c:pt idx="4">
                  <c:v>9</c:v>
                </c:pt>
                <c:pt idx="5">
                  <c:v>9.6</c:v>
                </c:pt>
                <c:pt idx="6">
                  <c:v>10.3</c:v>
                </c:pt>
                <c:pt idx="7">
                  <c:v>11.1</c:v>
                </c:pt>
                <c:pt idx="8">
                  <c:v>11.1</c:v>
                </c:pt>
                <c:pt idx="9">
                  <c:v>11.1</c:v>
                </c:pt>
                <c:pt idx="10">
                  <c:v>12.9</c:v>
                </c:pt>
                <c:pt idx="11">
                  <c:v>13.7</c:v>
                </c:pt>
                <c:pt idx="12">
                  <c:v>14.2</c:v>
                </c:pt>
                <c:pt idx="13">
                  <c:v>14.8</c:v>
                </c:pt>
                <c:pt idx="14">
                  <c:v>16.2</c:v>
                </c:pt>
                <c:pt idx="15">
                  <c:v>17.600000000000001</c:v>
                </c:pt>
                <c:pt idx="16">
                  <c:v>17.7</c:v>
                </c:pt>
                <c:pt idx="17">
                  <c:v>19.899999999999999</c:v>
                </c:pt>
                <c:pt idx="18">
                  <c:v>19.899999999999999</c:v>
                </c:pt>
                <c:pt idx="19">
                  <c:v>20.2</c:v>
                </c:pt>
                <c:pt idx="20">
                  <c:v>21.7</c:v>
                </c:pt>
              </c:numCache>
            </c:numRef>
          </c:val>
          <c:extLst>
            <c:ext xmlns:c16="http://schemas.microsoft.com/office/drawing/2014/chart" uri="{C3380CC4-5D6E-409C-BE32-E72D297353CC}">
              <c16:uniqueId val="{00000002-CB36-40F1-929D-777ABCD9A518}"/>
            </c:ext>
          </c:extLst>
        </c:ser>
        <c:dLbls>
          <c:showLegendKey val="0"/>
          <c:showVal val="0"/>
          <c:showCatName val="0"/>
          <c:showSerName val="0"/>
          <c:showPercent val="0"/>
          <c:showBubbleSize val="0"/>
        </c:dLbls>
        <c:gapWidth val="182"/>
        <c:axId val="1228748048"/>
        <c:axId val="1176956016"/>
      </c:barChart>
      <c:catAx>
        <c:axId val="12287480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176956016"/>
        <c:crosses val="autoZero"/>
        <c:auto val="1"/>
        <c:lblAlgn val="ctr"/>
        <c:lblOffset val="100"/>
        <c:noMultiLvlLbl val="0"/>
      </c:catAx>
      <c:valAx>
        <c:axId val="1176956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2287480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dfae1c7-3ad3-447b-8d6c-022aad3c985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608E363D4E4034199CF55C72F9E7E5F" ma:contentTypeVersion="13" ma:contentTypeDescription="Create a new document." ma:contentTypeScope="" ma:versionID="5563040d73162c32bb31c1b28757cf4b">
  <xsd:schema xmlns:xsd="http://www.w3.org/2001/XMLSchema" xmlns:xs="http://www.w3.org/2001/XMLSchema" xmlns:p="http://schemas.microsoft.com/office/2006/metadata/properties" xmlns:ns3="8dfae1c7-3ad3-447b-8d6c-022aad3c985d" xmlns:ns4="f32a6417-f7a3-45ea-a0a4-776f11bc0885" targetNamespace="http://schemas.microsoft.com/office/2006/metadata/properties" ma:root="true" ma:fieldsID="59fea71261191969e4d807df29cf03ad" ns3:_="" ns4:_="">
    <xsd:import namespace="8dfae1c7-3ad3-447b-8d6c-022aad3c985d"/>
    <xsd:import namespace="f32a6417-f7a3-45ea-a0a4-776f11bc088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fae1c7-3ad3-447b-8d6c-022aad3c98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2a6417-f7a3-45ea-a0a4-776f11bc08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C4D12-6E72-495B-B483-4E5C050FE655}">
  <ds:schemaRefs>
    <ds:schemaRef ds:uri="http://schemas.microsoft.com/office/infopath/2007/PartnerControls"/>
    <ds:schemaRef ds:uri="8dfae1c7-3ad3-447b-8d6c-022aad3c985d"/>
    <ds:schemaRef ds:uri="http://purl.org/dc/elements/1.1/"/>
    <ds:schemaRef ds:uri="http://purl.org/dc/dcmitype/"/>
    <ds:schemaRef ds:uri="http://schemas.microsoft.com/office/2006/documentManagement/types"/>
    <ds:schemaRef ds:uri="http://purl.org/dc/terms/"/>
    <ds:schemaRef ds:uri="http://www.w3.org/XML/1998/namespace"/>
    <ds:schemaRef ds:uri="http://schemas.openxmlformats.org/package/2006/metadata/core-properties"/>
    <ds:schemaRef ds:uri="f32a6417-f7a3-45ea-a0a4-776f11bc0885"/>
    <ds:schemaRef ds:uri="http://schemas.microsoft.com/office/2006/metadata/properties"/>
  </ds:schemaRefs>
</ds:datastoreItem>
</file>

<file path=customXml/itemProps2.xml><?xml version="1.0" encoding="utf-8"?>
<ds:datastoreItem xmlns:ds="http://schemas.openxmlformats.org/officeDocument/2006/customXml" ds:itemID="{BB9936BE-FD49-49F8-BFB1-A3A9BDC5A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fae1c7-3ad3-447b-8d6c-022aad3c985d"/>
    <ds:schemaRef ds:uri="f32a6417-f7a3-45ea-a0a4-776f11bc0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09687D-C520-4E0C-B440-535BCDF3C31C}">
  <ds:schemaRefs>
    <ds:schemaRef ds:uri="http://schemas.microsoft.com/sharepoint/v3/contenttype/forms"/>
  </ds:schemaRefs>
</ds:datastoreItem>
</file>

<file path=customXml/itemProps4.xml><?xml version="1.0" encoding="utf-8"?>
<ds:datastoreItem xmlns:ds="http://schemas.openxmlformats.org/officeDocument/2006/customXml" ds:itemID="{C691084E-10BA-427F-B880-B0DF01134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4626</Words>
  <Characters>26371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30936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Mooney, Darren</dc:creator>
  <cp:keywords/>
  <dc:description/>
  <cp:lastModifiedBy>Nicholls, Holly</cp:lastModifiedBy>
  <cp:revision>3</cp:revision>
  <cp:lastPrinted>2022-03-21T11:37:00Z</cp:lastPrinted>
  <dcterms:created xsi:type="dcterms:W3CDTF">2023-03-30T17:04:00Z</dcterms:created>
  <dcterms:modified xsi:type="dcterms:W3CDTF">2023-03-30T17:39:00Z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0x0101002608E363D4E4034199CF55C72F9E7E5F</vt:lpwstr>
  </property>
</Properties>
</file>