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E20F4" w14:textId="0B9EFF18" w:rsidR="009B06E9" w:rsidRPr="00F96AEC" w:rsidRDefault="009B06E9" w:rsidP="00FE7F50">
      <w:pPr>
        <w:jc w:val="right"/>
        <w:rPr>
          <w:b/>
          <w:sz w:val="20"/>
          <w:szCs w:val="20"/>
        </w:rPr>
      </w:pP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8805"/>
      </w:tblGrid>
      <w:tr w:rsidR="009B06E9" w14:paraId="404050CA" w14:textId="77777777" w:rsidTr="00877C20">
        <w:tc>
          <w:tcPr>
            <w:tcW w:w="284" w:type="dxa"/>
          </w:tcPr>
          <w:p w14:paraId="10C31A5E" w14:textId="77777777" w:rsidR="009B06E9" w:rsidRDefault="009B06E9"/>
        </w:tc>
        <w:tc>
          <w:tcPr>
            <w:tcW w:w="8732" w:type="dxa"/>
          </w:tcPr>
          <w:p w14:paraId="67D23B38" w14:textId="17BBC0C8" w:rsidR="0083664D" w:rsidRDefault="0083664D" w:rsidP="00877C20">
            <w:pPr>
              <w:jc w:val="center"/>
              <w:rPr>
                <w:noProof/>
              </w:rPr>
            </w:pPr>
          </w:p>
          <w:p w14:paraId="18DF768D" w14:textId="060D3BB6" w:rsidR="003754D6" w:rsidRDefault="003754D6" w:rsidP="00877C20">
            <w:pPr>
              <w:jc w:val="center"/>
              <w:rPr>
                <w:b/>
                <w:noProof/>
                <w:color w:val="002060"/>
                <w:sz w:val="32"/>
                <w:szCs w:val="32"/>
              </w:rPr>
            </w:pPr>
            <w:r>
              <w:rPr>
                <w:b/>
                <w:noProof/>
                <w:color w:val="002060"/>
                <w:sz w:val="32"/>
                <w:szCs w:val="32"/>
              </w:rPr>
              <w:drawing>
                <wp:inline distT="0" distB="0" distL="0" distR="0" wp14:anchorId="44B8575C" wp14:editId="1C706BC5">
                  <wp:extent cx="5732145" cy="2373630"/>
                  <wp:effectExtent l="0" t="0" r="1905" b="7620"/>
                  <wp:docPr id="23445046"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5046" name="Picture 1"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2145" cy="2373630"/>
                          </a:xfrm>
                          <a:prstGeom prst="rect">
                            <a:avLst/>
                          </a:prstGeom>
                        </pic:spPr>
                      </pic:pic>
                    </a:graphicData>
                  </a:graphic>
                </wp:inline>
              </w:drawing>
            </w:r>
          </w:p>
          <w:p w14:paraId="3B6E8D09" w14:textId="25AD9E59" w:rsidR="003754D6" w:rsidRPr="00833D36" w:rsidRDefault="00833D36" w:rsidP="00833D36">
            <w:pPr>
              <w:rPr>
                <w:bCs/>
                <w:noProof/>
                <w:color w:val="002060"/>
                <w:sz w:val="24"/>
                <w:szCs w:val="24"/>
              </w:rPr>
            </w:pPr>
            <w:r>
              <w:rPr>
                <w:bCs/>
                <w:noProof/>
                <w:color w:val="002060"/>
                <w:sz w:val="24"/>
                <w:szCs w:val="24"/>
              </w:rPr>
              <w:t>Image: Dr Ian Cushing</w:t>
            </w:r>
          </w:p>
          <w:p w14:paraId="680C996C" w14:textId="77777777" w:rsidR="003754D6" w:rsidRDefault="003754D6" w:rsidP="00B61B33">
            <w:pPr>
              <w:jc w:val="center"/>
              <w:rPr>
                <w:rFonts w:ascii="Calibri" w:eastAsia="Calibri" w:hAnsi="Calibri" w:cs="Calibri"/>
                <w:b/>
                <w:bCs/>
                <w:color w:val="002060"/>
                <w:sz w:val="32"/>
                <w:szCs w:val="32"/>
                <w:lang w:val="en-US"/>
              </w:rPr>
            </w:pPr>
          </w:p>
          <w:p w14:paraId="6CBC2EB0" w14:textId="77777777" w:rsidR="003754D6" w:rsidRDefault="003754D6" w:rsidP="00B61B33">
            <w:pPr>
              <w:jc w:val="center"/>
              <w:rPr>
                <w:rFonts w:ascii="Calibri" w:eastAsia="Calibri" w:hAnsi="Calibri" w:cs="Calibri"/>
                <w:b/>
                <w:bCs/>
                <w:color w:val="002060"/>
                <w:sz w:val="32"/>
                <w:szCs w:val="32"/>
                <w:lang w:val="en-US"/>
              </w:rPr>
            </w:pPr>
          </w:p>
          <w:p w14:paraId="7FC5CE51" w14:textId="7015018C" w:rsidR="003754D6" w:rsidRDefault="003754D6" w:rsidP="00B61B33">
            <w:pPr>
              <w:jc w:val="center"/>
              <w:rPr>
                <w:rFonts w:ascii="Calibri" w:eastAsia="Calibri" w:hAnsi="Calibri" w:cs="Calibri"/>
                <w:b/>
                <w:bCs/>
                <w:color w:val="002060"/>
                <w:sz w:val="32"/>
                <w:szCs w:val="32"/>
                <w:lang w:val="en-US"/>
              </w:rPr>
            </w:pPr>
            <w:r>
              <w:rPr>
                <w:rFonts w:ascii="Calibri" w:eastAsia="Calibri" w:hAnsi="Calibri" w:cs="Calibri"/>
                <w:b/>
                <w:bCs/>
                <w:color w:val="002060"/>
                <w:sz w:val="32"/>
                <w:szCs w:val="32"/>
                <w:lang w:val="en-US"/>
              </w:rPr>
              <w:t xml:space="preserve">Global Voices: an exploration and celebration of </w:t>
            </w:r>
            <w:proofErr w:type="gramStart"/>
            <w:r>
              <w:rPr>
                <w:rFonts w:ascii="Calibri" w:eastAsia="Calibri" w:hAnsi="Calibri" w:cs="Calibri"/>
                <w:b/>
                <w:bCs/>
                <w:color w:val="002060"/>
                <w:sz w:val="32"/>
                <w:szCs w:val="32"/>
                <w:lang w:val="en-US"/>
              </w:rPr>
              <w:t>language  Conference</w:t>
            </w:r>
            <w:proofErr w:type="gramEnd"/>
            <w:r>
              <w:rPr>
                <w:rFonts w:ascii="Calibri" w:eastAsia="Calibri" w:hAnsi="Calibri" w:cs="Calibri"/>
                <w:b/>
                <w:bCs/>
                <w:color w:val="002060"/>
                <w:sz w:val="32"/>
                <w:szCs w:val="32"/>
                <w:lang w:val="en-US"/>
              </w:rPr>
              <w:t xml:space="preserve"> 2023 </w:t>
            </w:r>
          </w:p>
          <w:p w14:paraId="3B27FE32" w14:textId="17D48E36" w:rsidR="0083664D" w:rsidRDefault="0083664D" w:rsidP="0083664D">
            <w:pPr>
              <w:jc w:val="center"/>
              <w:rPr>
                <w:rFonts w:ascii="Calibri" w:eastAsia="Calibri" w:hAnsi="Calibri" w:cs="Times New Roman"/>
                <w:b/>
                <w:noProof/>
                <w:color w:val="002060"/>
                <w:sz w:val="28"/>
                <w:szCs w:val="28"/>
                <w:lang w:eastAsia="en-GB"/>
              </w:rPr>
            </w:pPr>
          </w:p>
          <w:p w14:paraId="50607612" w14:textId="0A3D393A" w:rsidR="0005412D" w:rsidRDefault="00314BD7" w:rsidP="0083664D">
            <w:pPr>
              <w:jc w:val="center"/>
              <w:rPr>
                <w:rFonts w:ascii="Calibri" w:eastAsia="Calibri" w:hAnsi="Calibri" w:cs="Times New Roman"/>
                <w:b/>
                <w:noProof/>
                <w:color w:val="002060"/>
                <w:sz w:val="28"/>
                <w:szCs w:val="28"/>
                <w:lang w:eastAsia="en-GB"/>
              </w:rPr>
            </w:pPr>
            <w:r>
              <w:rPr>
                <w:rFonts w:ascii="Calibri" w:eastAsia="Calibri" w:hAnsi="Calibri" w:cs="Times New Roman"/>
                <w:b/>
                <w:noProof/>
                <w:color w:val="002060"/>
                <w:sz w:val="28"/>
                <w:szCs w:val="28"/>
                <w:lang w:eastAsia="en-GB"/>
              </w:rPr>
              <w:t>8</w:t>
            </w:r>
            <w:r w:rsidRPr="00314BD7">
              <w:rPr>
                <w:rFonts w:ascii="Calibri" w:eastAsia="Calibri" w:hAnsi="Calibri" w:cs="Times New Roman"/>
                <w:b/>
                <w:noProof/>
                <w:color w:val="002060"/>
                <w:sz w:val="28"/>
                <w:szCs w:val="28"/>
                <w:vertAlign w:val="superscript"/>
                <w:lang w:eastAsia="en-GB"/>
              </w:rPr>
              <w:t>th</w:t>
            </w:r>
            <w:r>
              <w:rPr>
                <w:rFonts w:ascii="Calibri" w:eastAsia="Calibri" w:hAnsi="Calibri" w:cs="Times New Roman"/>
                <w:b/>
                <w:noProof/>
                <w:color w:val="002060"/>
                <w:sz w:val="28"/>
                <w:szCs w:val="28"/>
                <w:lang w:eastAsia="en-GB"/>
              </w:rPr>
              <w:t xml:space="preserve"> </w:t>
            </w:r>
            <w:r w:rsidR="0005412D">
              <w:rPr>
                <w:rFonts w:ascii="Calibri" w:eastAsia="Calibri" w:hAnsi="Calibri" w:cs="Times New Roman"/>
                <w:b/>
                <w:noProof/>
                <w:color w:val="002060"/>
                <w:sz w:val="28"/>
                <w:szCs w:val="28"/>
                <w:lang w:eastAsia="en-GB"/>
              </w:rPr>
              <w:t>Ma</w:t>
            </w:r>
            <w:r>
              <w:rPr>
                <w:rFonts w:ascii="Calibri" w:eastAsia="Calibri" w:hAnsi="Calibri" w:cs="Times New Roman"/>
                <w:b/>
                <w:noProof/>
                <w:color w:val="002060"/>
                <w:sz w:val="28"/>
                <w:szCs w:val="28"/>
                <w:lang w:eastAsia="en-GB"/>
              </w:rPr>
              <w:t xml:space="preserve">rch </w:t>
            </w:r>
            <w:r w:rsidR="0005412D">
              <w:rPr>
                <w:rFonts w:ascii="Calibri" w:eastAsia="Calibri" w:hAnsi="Calibri" w:cs="Times New Roman"/>
                <w:b/>
                <w:noProof/>
                <w:color w:val="002060"/>
                <w:sz w:val="28"/>
                <w:szCs w:val="28"/>
                <w:lang w:eastAsia="en-GB"/>
              </w:rPr>
              <w:t>202</w:t>
            </w:r>
            <w:r>
              <w:rPr>
                <w:rFonts w:ascii="Calibri" w:eastAsia="Calibri" w:hAnsi="Calibri" w:cs="Times New Roman"/>
                <w:b/>
                <w:noProof/>
                <w:color w:val="002060"/>
                <w:sz w:val="28"/>
                <w:szCs w:val="28"/>
                <w:lang w:eastAsia="en-GB"/>
              </w:rPr>
              <w:t>3</w:t>
            </w:r>
          </w:p>
          <w:p w14:paraId="702BB151" w14:textId="77777777" w:rsidR="00B37421" w:rsidRPr="0083664D" w:rsidRDefault="00B37421" w:rsidP="0083664D">
            <w:pPr>
              <w:jc w:val="center"/>
              <w:rPr>
                <w:rFonts w:ascii="Calibri" w:eastAsia="Calibri" w:hAnsi="Calibri" w:cs="Times New Roman"/>
                <w:b/>
                <w:noProof/>
                <w:color w:val="002060"/>
                <w:sz w:val="28"/>
                <w:szCs w:val="28"/>
                <w:lang w:eastAsia="en-GB"/>
              </w:rPr>
            </w:pPr>
          </w:p>
          <w:p w14:paraId="3C4C1F58" w14:textId="562C5248" w:rsidR="003754D6" w:rsidRDefault="003754D6" w:rsidP="0083664D">
            <w:pPr>
              <w:rPr>
                <w:rFonts w:ascii="Calibri" w:eastAsia="Calibri" w:hAnsi="Calibri" w:cs="Calibri"/>
                <w:color w:val="002060"/>
                <w:sz w:val="24"/>
                <w:szCs w:val="24"/>
                <w:lang w:val="en-US"/>
              </w:rPr>
            </w:pPr>
            <w:r>
              <w:rPr>
                <w:rFonts w:ascii="Calibri" w:eastAsia="Calibri" w:hAnsi="Calibri" w:cs="Calibri"/>
                <w:color w:val="002060"/>
                <w:sz w:val="24"/>
                <w:szCs w:val="24"/>
                <w:lang w:val="en-US"/>
              </w:rPr>
              <w:t xml:space="preserve">The </w:t>
            </w:r>
            <w:r w:rsidR="00FD2B9C">
              <w:rPr>
                <w:rFonts w:ascii="Calibri" w:eastAsia="Calibri" w:hAnsi="Calibri" w:cs="Calibri"/>
                <w:color w:val="002060"/>
                <w:sz w:val="24"/>
                <w:szCs w:val="24"/>
                <w:lang w:val="en-US"/>
              </w:rPr>
              <w:t xml:space="preserve">close cooperation between </w:t>
            </w:r>
            <w:r w:rsidR="003256F6">
              <w:rPr>
                <w:rFonts w:ascii="Calibri" w:eastAsia="Calibri" w:hAnsi="Calibri" w:cs="Calibri"/>
                <w:color w:val="002060"/>
                <w:sz w:val="24"/>
                <w:szCs w:val="24"/>
                <w:lang w:val="en-US"/>
              </w:rPr>
              <w:t xml:space="preserve">CTELL, </w:t>
            </w:r>
            <w:r w:rsidR="00FD2B9C">
              <w:rPr>
                <w:rFonts w:ascii="Calibri" w:eastAsia="Calibri" w:hAnsi="Calibri" w:cs="Calibri"/>
                <w:color w:val="002060"/>
                <w:sz w:val="24"/>
                <w:szCs w:val="24"/>
                <w:lang w:val="en-US"/>
              </w:rPr>
              <w:t>School Improvement Liverpool (SIL</w:t>
            </w:r>
            <w:r w:rsidR="0089153D">
              <w:rPr>
                <w:rFonts w:ascii="Calibri" w:eastAsia="Calibri" w:hAnsi="Calibri" w:cs="Calibri"/>
                <w:color w:val="002060"/>
                <w:sz w:val="24"/>
                <w:szCs w:val="24"/>
                <w:lang w:val="en-US"/>
              </w:rPr>
              <w:t>)</w:t>
            </w:r>
            <w:r w:rsidR="003256F6">
              <w:rPr>
                <w:rFonts w:ascii="Calibri" w:eastAsia="Calibri" w:hAnsi="Calibri" w:cs="Calibri"/>
                <w:color w:val="002060"/>
                <w:sz w:val="24"/>
                <w:szCs w:val="24"/>
                <w:lang w:val="en-US"/>
              </w:rPr>
              <w:t xml:space="preserve"> and </w:t>
            </w:r>
            <w:r w:rsidR="00FD2B9C">
              <w:rPr>
                <w:rFonts w:ascii="Calibri" w:eastAsia="Calibri" w:hAnsi="Calibri" w:cs="Calibri"/>
                <w:color w:val="002060"/>
                <w:sz w:val="24"/>
                <w:szCs w:val="24"/>
                <w:lang w:val="en-US"/>
              </w:rPr>
              <w:t>the Ethnic Minority</w:t>
            </w:r>
            <w:r w:rsidR="003256F6">
              <w:rPr>
                <w:rFonts w:ascii="Calibri" w:eastAsia="Calibri" w:hAnsi="Calibri" w:cs="Calibri"/>
                <w:color w:val="002060"/>
                <w:sz w:val="24"/>
                <w:szCs w:val="24"/>
                <w:lang w:val="en-US"/>
              </w:rPr>
              <w:t xml:space="preserve"> and Traveler Achievement Service (EMTAS-MFL) resulted in a second, successful conference to celebrate languages in Liverpool and beyond</w:t>
            </w:r>
            <w:r w:rsidR="00661451">
              <w:rPr>
                <w:rFonts w:ascii="Calibri" w:eastAsia="Calibri" w:hAnsi="Calibri" w:cs="Calibri"/>
                <w:color w:val="002060"/>
                <w:sz w:val="24"/>
                <w:szCs w:val="24"/>
                <w:lang w:val="en-US"/>
              </w:rPr>
              <w:t xml:space="preserve">, </w:t>
            </w:r>
            <w:r>
              <w:rPr>
                <w:rFonts w:ascii="Calibri" w:eastAsia="Calibri" w:hAnsi="Calibri" w:cs="Calibri"/>
                <w:color w:val="002060"/>
                <w:sz w:val="24"/>
                <w:szCs w:val="24"/>
                <w:lang w:val="en-US"/>
              </w:rPr>
              <w:t>part of the CTELL events series ‘Variation and Change in Language Learning and Literacy Development – Celebrating diversity in the language classroom</w:t>
            </w:r>
            <w:r w:rsidR="003256F6">
              <w:rPr>
                <w:rFonts w:ascii="Calibri" w:eastAsia="Calibri" w:hAnsi="Calibri" w:cs="Calibri"/>
                <w:color w:val="002060"/>
                <w:sz w:val="24"/>
                <w:szCs w:val="24"/>
                <w:lang w:val="en-US"/>
              </w:rPr>
              <w:t>’.</w:t>
            </w:r>
          </w:p>
          <w:p w14:paraId="557A5127" w14:textId="2BF3C050" w:rsidR="007B35D5" w:rsidRDefault="007B35D5" w:rsidP="0083664D">
            <w:pPr>
              <w:rPr>
                <w:rFonts w:ascii="Calibri" w:eastAsia="Calibri" w:hAnsi="Calibri" w:cs="Calibri"/>
                <w:color w:val="002060"/>
                <w:sz w:val="24"/>
                <w:szCs w:val="24"/>
                <w:lang w:val="en-US"/>
              </w:rPr>
            </w:pPr>
            <w:r w:rsidRPr="00710764">
              <w:rPr>
                <w:rFonts w:ascii="Calibri" w:eastAsia="Calibri" w:hAnsi="Calibri" w:cs="Calibri"/>
                <w:b/>
                <w:bCs/>
                <w:color w:val="002060"/>
                <w:sz w:val="24"/>
                <w:szCs w:val="24"/>
                <w:lang w:val="en-US"/>
              </w:rPr>
              <w:t>Dr Natalie Finlayson</w:t>
            </w:r>
            <w:r w:rsidR="008B2247">
              <w:rPr>
                <w:rFonts w:ascii="Calibri" w:eastAsia="Calibri" w:hAnsi="Calibri" w:cs="Calibri"/>
                <w:color w:val="002060"/>
                <w:sz w:val="24"/>
                <w:szCs w:val="24"/>
                <w:lang w:val="en-US"/>
              </w:rPr>
              <w:t xml:space="preserve"> (University of York) opened the conference with her keynote paper ‘</w:t>
            </w:r>
            <w:r w:rsidR="008B2247" w:rsidRPr="00B41BF5">
              <w:rPr>
                <w:rFonts w:ascii="Calibri" w:eastAsia="Calibri" w:hAnsi="Calibri" w:cs="Calibri"/>
                <w:b/>
                <w:bCs/>
                <w:color w:val="002060"/>
                <w:sz w:val="24"/>
                <w:szCs w:val="24"/>
                <w:lang w:val="en-US"/>
              </w:rPr>
              <w:t>Supporting Diversity, Inclusion, and Representation in the Modern Language Classroom’</w:t>
            </w:r>
            <w:r w:rsidR="009334AC">
              <w:rPr>
                <w:rFonts w:ascii="Calibri" w:eastAsia="Calibri" w:hAnsi="Calibri" w:cs="Calibri"/>
                <w:color w:val="002060"/>
                <w:sz w:val="24"/>
                <w:szCs w:val="24"/>
                <w:lang w:val="en-US"/>
              </w:rPr>
              <w:t xml:space="preserve"> [add link to </w:t>
            </w:r>
            <w:r w:rsidR="00C36BB4">
              <w:rPr>
                <w:rFonts w:ascii="Calibri" w:eastAsia="Calibri" w:hAnsi="Calibri" w:cs="Calibri"/>
                <w:color w:val="002060"/>
                <w:sz w:val="24"/>
                <w:szCs w:val="24"/>
                <w:lang w:val="en-US"/>
              </w:rPr>
              <w:t>ppt Finlayson G</w:t>
            </w:r>
            <w:r w:rsidR="009334AC">
              <w:rPr>
                <w:rFonts w:ascii="Calibri" w:eastAsia="Calibri" w:hAnsi="Calibri" w:cs="Calibri"/>
                <w:color w:val="002060"/>
                <w:sz w:val="24"/>
                <w:szCs w:val="24"/>
                <w:lang w:val="en-US"/>
              </w:rPr>
              <w:t xml:space="preserve">lobal </w:t>
            </w:r>
            <w:r w:rsidR="00C36BB4">
              <w:rPr>
                <w:rFonts w:ascii="Calibri" w:eastAsia="Calibri" w:hAnsi="Calibri" w:cs="Calibri"/>
                <w:color w:val="002060"/>
                <w:sz w:val="24"/>
                <w:szCs w:val="24"/>
                <w:lang w:val="en-US"/>
              </w:rPr>
              <w:t>V</w:t>
            </w:r>
            <w:r w:rsidR="009334AC">
              <w:rPr>
                <w:rFonts w:ascii="Calibri" w:eastAsia="Calibri" w:hAnsi="Calibri" w:cs="Calibri"/>
                <w:color w:val="002060"/>
                <w:sz w:val="24"/>
                <w:szCs w:val="24"/>
                <w:lang w:val="en-US"/>
              </w:rPr>
              <w:t>oices]</w:t>
            </w:r>
            <w:r w:rsidR="008B2247">
              <w:rPr>
                <w:rFonts w:ascii="Calibri" w:eastAsia="Calibri" w:hAnsi="Calibri" w:cs="Calibri"/>
                <w:color w:val="002060"/>
                <w:sz w:val="24"/>
                <w:szCs w:val="24"/>
                <w:lang w:val="en-US"/>
              </w:rPr>
              <w:t>. She demonstrated how an inclusive learning environment can be foster</w:t>
            </w:r>
            <w:r w:rsidR="009334AC">
              <w:rPr>
                <w:rFonts w:ascii="Calibri" w:eastAsia="Calibri" w:hAnsi="Calibri" w:cs="Calibri"/>
                <w:color w:val="002060"/>
                <w:sz w:val="24"/>
                <w:szCs w:val="24"/>
                <w:lang w:val="en-US"/>
              </w:rPr>
              <w:t>ed and cultural barriers broken down through innovative learning resources.</w:t>
            </w:r>
          </w:p>
          <w:p w14:paraId="3FCDF333" w14:textId="17CE56DE" w:rsidR="003256F6" w:rsidRDefault="009334AC" w:rsidP="0083664D">
            <w:pPr>
              <w:rPr>
                <w:rFonts w:ascii="Calibri" w:eastAsia="Calibri" w:hAnsi="Calibri" w:cs="Calibri"/>
                <w:color w:val="002060"/>
                <w:sz w:val="24"/>
                <w:szCs w:val="24"/>
                <w:lang w:val="en-US"/>
              </w:rPr>
            </w:pPr>
            <w:r w:rsidRPr="00B41BF5">
              <w:rPr>
                <w:rFonts w:ascii="Calibri" w:eastAsia="Calibri" w:hAnsi="Calibri" w:cs="Calibri"/>
                <w:b/>
                <w:bCs/>
                <w:color w:val="002060"/>
                <w:sz w:val="24"/>
                <w:szCs w:val="24"/>
                <w:lang w:val="en-US"/>
              </w:rPr>
              <w:t>Dr Ulrike Bavendiek</w:t>
            </w:r>
            <w:r>
              <w:rPr>
                <w:rFonts w:ascii="Calibri" w:eastAsia="Calibri" w:hAnsi="Calibri" w:cs="Calibri"/>
                <w:color w:val="002060"/>
                <w:sz w:val="24"/>
                <w:szCs w:val="24"/>
                <w:lang w:val="en-US"/>
              </w:rPr>
              <w:t xml:space="preserve"> (University of Liverpool) explored linguistic </w:t>
            </w:r>
            <w:r w:rsidR="003B20C6">
              <w:rPr>
                <w:rFonts w:ascii="Calibri" w:eastAsia="Calibri" w:hAnsi="Calibri" w:cs="Calibri"/>
                <w:color w:val="002060"/>
                <w:sz w:val="24"/>
                <w:szCs w:val="24"/>
                <w:lang w:val="en-US"/>
              </w:rPr>
              <w:t>bias</w:t>
            </w:r>
            <w:r>
              <w:rPr>
                <w:rFonts w:ascii="Calibri" w:eastAsia="Calibri" w:hAnsi="Calibri" w:cs="Calibri"/>
                <w:color w:val="002060"/>
                <w:sz w:val="24"/>
                <w:szCs w:val="24"/>
                <w:lang w:val="en-US"/>
              </w:rPr>
              <w:t xml:space="preserve"> in </w:t>
            </w:r>
            <w:r w:rsidR="003B20C6">
              <w:rPr>
                <w:rFonts w:ascii="Calibri" w:eastAsia="Calibri" w:hAnsi="Calibri" w:cs="Calibri"/>
                <w:color w:val="002060"/>
                <w:sz w:val="24"/>
                <w:szCs w:val="24"/>
                <w:lang w:val="en-US"/>
              </w:rPr>
              <w:t xml:space="preserve">the workshop </w:t>
            </w:r>
            <w:r w:rsidRPr="00B41BF5">
              <w:rPr>
                <w:rFonts w:ascii="Calibri" w:eastAsia="Calibri" w:hAnsi="Calibri" w:cs="Calibri"/>
                <w:b/>
                <w:bCs/>
                <w:color w:val="002060"/>
                <w:sz w:val="24"/>
                <w:szCs w:val="24"/>
                <w:lang w:val="en-US"/>
              </w:rPr>
              <w:t>‘Linguistic stereotyping in education: what is it and how can we avoid it?’</w:t>
            </w:r>
            <w:r w:rsidR="003B20C6">
              <w:rPr>
                <w:rFonts w:ascii="Calibri" w:eastAsia="Calibri" w:hAnsi="Calibri" w:cs="Calibri"/>
                <w:color w:val="002060"/>
                <w:sz w:val="24"/>
                <w:szCs w:val="24"/>
                <w:lang w:val="en-US"/>
              </w:rPr>
              <w:t xml:space="preserve"> </w:t>
            </w:r>
            <w:r w:rsidR="0089153D">
              <w:rPr>
                <w:rFonts w:ascii="Calibri" w:eastAsia="Calibri" w:hAnsi="Calibri" w:cs="Calibri"/>
                <w:color w:val="002060"/>
                <w:sz w:val="24"/>
                <w:szCs w:val="24"/>
                <w:lang w:val="en-US"/>
              </w:rPr>
              <w:t xml:space="preserve">[add link to </w:t>
            </w:r>
            <w:r w:rsidR="00C36BB4">
              <w:rPr>
                <w:rFonts w:ascii="Calibri" w:eastAsia="Calibri" w:hAnsi="Calibri" w:cs="Calibri"/>
                <w:color w:val="002060"/>
                <w:sz w:val="24"/>
                <w:szCs w:val="24"/>
                <w:lang w:val="en-US"/>
              </w:rPr>
              <w:t xml:space="preserve">ppt </w:t>
            </w:r>
            <w:r w:rsidR="0089153D">
              <w:rPr>
                <w:rFonts w:ascii="Calibri" w:eastAsia="Calibri" w:hAnsi="Calibri" w:cs="Calibri"/>
                <w:color w:val="002060"/>
                <w:sz w:val="24"/>
                <w:szCs w:val="24"/>
                <w:lang w:val="en-US"/>
              </w:rPr>
              <w:t xml:space="preserve">Bavendiek Global Voices]. </w:t>
            </w:r>
            <w:r w:rsidR="003B20C6">
              <w:rPr>
                <w:rFonts w:ascii="Calibri" w:eastAsia="Calibri" w:hAnsi="Calibri" w:cs="Calibri"/>
                <w:color w:val="002060"/>
                <w:sz w:val="24"/>
                <w:szCs w:val="24"/>
                <w:lang w:val="en-US"/>
              </w:rPr>
              <w:t>Participants engaged in lively discussions</w:t>
            </w:r>
            <w:r w:rsidR="0089153D">
              <w:rPr>
                <w:rFonts w:ascii="Calibri" w:eastAsia="Calibri" w:hAnsi="Calibri" w:cs="Calibri"/>
                <w:color w:val="002060"/>
                <w:sz w:val="24"/>
                <w:szCs w:val="24"/>
                <w:lang w:val="en-US"/>
              </w:rPr>
              <w:t xml:space="preserve">, sharing </w:t>
            </w:r>
            <w:r w:rsidR="003B20C6">
              <w:rPr>
                <w:rFonts w:ascii="Calibri" w:eastAsia="Calibri" w:hAnsi="Calibri" w:cs="Calibri"/>
                <w:color w:val="002060"/>
                <w:sz w:val="24"/>
                <w:szCs w:val="24"/>
                <w:lang w:val="en-US"/>
              </w:rPr>
              <w:t>their experiences of linguistic stereotyping in their own educational contexts</w:t>
            </w:r>
            <w:r w:rsidR="0089153D">
              <w:rPr>
                <w:rFonts w:ascii="Calibri" w:eastAsia="Calibri" w:hAnsi="Calibri" w:cs="Calibri"/>
                <w:color w:val="002060"/>
                <w:sz w:val="24"/>
                <w:szCs w:val="24"/>
                <w:lang w:val="en-US"/>
              </w:rPr>
              <w:t xml:space="preserve">. The summaries showed </w:t>
            </w:r>
            <w:r w:rsidR="00D53B46">
              <w:rPr>
                <w:rFonts w:ascii="Calibri" w:eastAsia="Calibri" w:hAnsi="Calibri" w:cs="Calibri"/>
                <w:color w:val="002060"/>
                <w:sz w:val="24"/>
                <w:szCs w:val="24"/>
                <w:lang w:val="en-US"/>
              </w:rPr>
              <w:t xml:space="preserve">that </w:t>
            </w:r>
            <w:r w:rsidR="00B41BF5">
              <w:rPr>
                <w:rFonts w:ascii="Calibri" w:eastAsia="Calibri" w:hAnsi="Calibri" w:cs="Calibri"/>
                <w:color w:val="002060"/>
                <w:sz w:val="24"/>
                <w:szCs w:val="24"/>
                <w:lang w:val="en-US"/>
              </w:rPr>
              <w:t>linguistic di</w:t>
            </w:r>
            <w:r w:rsidR="0089153D">
              <w:rPr>
                <w:rFonts w:ascii="Calibri" w:eastAsia="Calibri" w:hAnsi="Calibri" w:cs="Calibri"/>
                <w:color w:val="002060"/>
                <w:sz w:val="24"/>
                <w:szCs w:val="24"/>
                <w:lang w:val="en-US"/>
              </w:rPr>
              <w:t>scrimination</w:t>
            </w:r>
            <w:r w:rsidR="00D53B46">
              <w:rPr>
                <w:rFonts w:ascii="Calibri" w:eastAsia="Calibri" w:hAnsi="Calibri" w:cs="Calibri"/>
                <w:color w:val="002060"/>
                <w:sz w:val="24"/>
                <w:szCs w:val="24"/>
                <w:lang w:val="en-US"/>
              </w:rPr>
              <w:t xml:space="preserve"> really is a pertinent issue </w:t>
            </w:r>
            <w:r w:rsidR="0089153D">
              <w:rPr>
                <w:rFonts w:ascii="Calibri" w:eastAsia="Calibri" w:hAnsi="Calibri" w:cs="Calibri"/>
                <w:color w:val="002060"/>
                <w:sz w:val="24"/>
                <w:szCs w:val="24"/>
                <w:lang w:val="en-US"/>
              </w:rPr>
              <w:t>in most teachers’ everyday practice.</w:t>
            </w:r>
          </w:p>
          <w:p w14:paraId="776D6B03" w14:textId="7908FFC3" w:rsidR="0045542F" w:rsidRPr="0045542F" w:rsidRDefault="004439AC" w:rsidP="0045542F">
            <w:pPr>
              <w:shd w:val="clear" w:color="auto" w:fill="FFFFFF"/>
              <w:spacing w:after="160" w:line="259" w:lineRule="auto"/>
              <w:rPr>
                <w:rFonts w:ascii="Calibri" w:eastAsia="Calibri" w:hAnsi="Calibri" w:cs="Calibri"/>
                <w:color w:val="000000"/>
                <w:lang w:eastAsia="en-GB"/>
              </w:rPr>
            </w:pPr>
            <w:r>
              <w:rPr>
                <w:rFonts w:ascii="Calibri" w:eastAsia="Calibri" w:hAnsi="Calibri" w:cs="Calibri"/>
                <w:color w:val="002060"/>
                <w:sz w:val="24"/>
                <w:szCs w:val="24"/>
                <w:lang w:val="en-US"/>
              </w:rPr>
              <w:t xml:space="preserve">In their workshop </w:t>
            </w:r>
            <w:r w:rsidR="00175656" w:rsidRPr="00B41BF5">
              <w:rPr>
                <w:rFonts w:ascii="Calibri" w:eastAsia="Calibri" w:hAnsi="Calibri" w:cs="Calibri"/>
                <w:b/>
                <w:bCs/>
                <w:color w:val="002060"/>
                <w:sz w:val="24"/>
                <w:szCs w:val="24"/>
                <w:lang w:val="en-US"/>
              </w:rPr>
              <w:t>‘An introduction to the Global Citizenship and Multilingual Competences Project’</w:t>
            </w:r>
            <w:r w:rsidR="00175656">
              <w:rPr>
                <w:rFonts w:ascii="Calibri" w:eastAsia="Calibri" w:hAnsi="Calibri" w:cs="Calibri"/>
                <w:color w:val="002060"/>
                <w:sz w:val="24"/>
                <w:szCs w:val="24"/>
                <w:lang w:val="en-US"/>
              </w:rPr>
              <w:t xml:space="preserve">, </w:t>
            </w:r>
            <w:r w:rsidR="00175656" w:rsidRPr="00B41BF5">
              <w:rPr>
                <w:rFonts w:ascii="Calibri" w:eastAsia="Calibri" w:hAnsi="Calibri" w:cs="Calibri"/>
                <w:b/>
                <w:bCs/>
                <w:color w:val="002060"/>
                <w:sz w:val="24"/>
                <w:szCs w:val="24"/>
                <w:lang w:val="en-US"/>
              </w:rPr>
              <w:t>Dr Raúl Valdivia Murgueytio</w:t>
            </w:r>
            <w:r w:rsidR="00175656">
              <w:rPr>
                <w:rFonts w:ascii="Calibri" w:eastAsia="Calibri" w:hAnsi="Calibri" w:cs="Calibri"/>
                <w:color w:val="002060"/>
                <w:sz w:val="24"/>
                <w:szCs w:val="24"/>
                <w:lang w:val="en-US"/>
              </w:rPr>
              <w:t xml:space="preserve"> (University of Newcastle) and </w:t>
            </w:r>
            <w:r w:rsidR="00175656" w:rsidRPr="00B41BF5">
              <w:rPr>
                <w:rFonts w:ascii="Calibri" w:eastAsia="Calibri" w:hAnsi="Calibri" w:cs="Calibri"/>
                <w:b/>
                <w:bCs/>
                <w:color w:val="002060"/>
                <w:sz w:val="24"/>
                <w:szCs w:val="24"/>
                <w:lang w:val="en-US"/>
              </w:rPr>
              <w:t>Dr Sandra Strigel</w:t>
            </w:r>
            <w:r w:rsidR="00175656">
              <w:rPr>
                <w:rFonts w:ascii="Calibri" w:eastAsia="Calibri" w:hAnsi="Calibri" w:cs="Calibri"/>
                <w:color w:val="002060"/>
                <w:sz w:val="24"/>
                <w:szCs w:val="24"/>
                <w:lang w:val="en-US"/>
              </w:rPr>
              <w:t xml:space="preserve"> (University of Liverpool) introduce</w:t>
            </w:r>
            <w:r w:rsidR="004772FD">
              <w:rPr>
                <w:rFonts w:ascii="Calibri" w:eastAsia="Calibri" w:hAnsi="Calibri" w:cs="Calibri"/>
                <w:color w:val="002060"/>
                <w:sz w:val="24"/>
                <w:szCs w:val="24"/>
                <w:lang w:val="en-US"/>
              </w:rPr>
              <w:t>d</w:t>
            </w:r>
            <w:r w:rsidR="00175656">
              <w:rPr>
                <w:rFonts w:ascii="Calibri" w:eastAsia="Calibri" w:hAnsi="Calibri" w:cs="Calibri"/>
                <w:color w:val="002060"/>
                <w:sz w:val="24"/>
                <w:szCs w:val="24"/>
                <w:lang w:val="en-US"/>
              </w:rPr>
              <w:t xml:space="preserve"> the Erasmus+ funded project ‘</w:t>
            </w:r>
            <w:proofErr w:type="spellStart"/>
            <w:r w:rsidR="00175656">
              <w:rPr>
                <w:rFonts w:ascii="Calibri" w:eastAsia="Calibri" w:hAnsi="Calibri" w:cs="Calibri"/>
                <w:color w:val="002060"/>
                <w:sz w:val="24"/>
                <w:szCs w:val="24"/>
                <w:lang w:val="en-US"/>
              </w:rPr>
              <w:t>Gobal</w:t>
            </w:r>
            <w:proofErr w:type="spellEnd"/>
            <w:r w:rsidR="00175656">
              <w:rPr>
                <w:rFonts w:ascii="Calibri" w:eastAsia="Calibri" w:hAnsi="Calibri" w:cs="Calibri"/>
                <w:color w:val="002060"/>
                <w:sz w:val="24"/>
                <w:szCs w:val="24"/>
                <w:lang w:val="en-US"/>
              </w:rPr>
              <w:t xml:space="preserve"> Citizenship and Multilingual Competences’</w:t>
            </w:r>
            <w:r w:rsidR="004772FD">
              <w:rPr>
                <w:rFonts w:ascii="Calibri" w:eastAsia="Calibri" w:hAnsi="Calibri" w:cs="Calibri"/>
                <w:color w:val="002060"/>
                <w:sz w:val="24"/>
                <w:szCs w:val="24"/>
                <w:lang w:val="en-US"/>
              </w:rPr>
              <w:t xml:space="preserve"> </w:t>
            </w:r>
            <w:r w:rsidR="00B41BF5">
              <w:rPr>
                <w:rFonts w:ascii="Calibri" w:eastAsia="Calibri" w:hAnsi="Calibri" w:cs="Calibri"/>
                <w:color w:val="002060"/>
                <w:sz w:val="24"/>
                <w:szCs w:val="24"/>
                <w:lang w:val="en-US"/>
              </w:rPr>
              <w:t>[include link</w:t>
            </w:r>
            <w:r w:rsidR="0089153D">
              <w:rPr>
                <w:rFonts w:ascii="Calibri" w:eastAsia="Calibri" w:hAnsi="Calibri" w:cs="Calibri"/>
                <w:color w:val="002060"/>
                <w:sz w:val="24"/>
                <w:szCs w:val="24"/>
                <w:lang w:val="en-US"/>
              </w:rPr>
              <w:t xml:space="preserve">  </w:t>
            </w:r>
            <w:hyperlink r:id="rId6" w:history="1">
              <w:r w:rsidR="0089153D" w:rsidRPr="00D6634D">
                <w:rPr>
                  <w:rStyle w:val="Hyperlink"/>
                  <w:rFonts w:ascii="Calibri" w:eastAsia="Calibri" w:hAnsi="Calibri" w:cs="Calibri"/>
                  <w:sz w:val="24"/>
                  <w:szCs w:val="24"/>
                  <w:lang w:val="en-US"/>
                </w:rPr>
                <w:t>https://gcmc.global/</w:t>
              </w:r>
            </w:hyperlink>
            <w:r w:rsidR="0089153D">
              <w:rPr>
                <w:rFonts w:ascii="Calibri" w:eastAsia="Calibri" w:hAnsi="Calibri" w:cs="Calibri"/>
                <w:color w:val="002060"/>
                <w:sz w:val="24"/>
                <w:szCs w:val="24"/>
                <w:lang w:val="en-US"/>
              </w:rPr>
              <w:t xml:space="preserve">  </w:t>
            </w:r>
            <w:r w:rsidR="00B41BF5">
              <w:rPr>
                <w:rFonts w:ascii="Calibri" w:eastAsia="Calibri" w:hAnsi="Calibri" w:cs="Calibri"/>
                <w:color w:val="002060"/>
                <w:sz w:val="24"/>
                <w:szCs w:val="24"/>
                <w:lang w:val="en-US"/>
              </w:rPr>
              <w:t>]</w:t>
            </w:r>
            <w:r w:rsidR="00175656">
              <w:rPr>
                <w:rFonts w:ascii="Calibri" w:eastAsia="Calibri" w:hAnsi="Calibri" w:cs="Calibri"/>
                <w:color w:val="002060"/>
                <w:sz w:val="24"/>
                <w:szCs w:val="24"/>
                <w:lang w:val="en-US"/>
              </w:rPr>
              <w:t>. The aim of this collaborative project, which includes research partners in Austria, the UK, the Netherlands, Italy</w:t>
            </w:r>
            <w:r w:rsidR="00C36BB4">
              <w:rPr>
                <w:rFonts w:ascii="Calibri" w:eastAsia="Calibri" w:hAnsi="Calibri" w:cs="Calibri"/>
                <w:color w:val="002060"/>
                <w:sz w:val="24"/>
                <w:szCs w:val="24"/>
                <w:lang w:val="en-US"/>
              </w:rPr>
              <w:t>,</w:t>
            </w:r>
            <w:r w:rsidR="00175656">
              <w:rPr>
                <w:rFonts w:ascii="Calibri" w:eastAsia="Calibri" w:hAnsi="Calibri" w:cs="Calibri"/>
                <w:color w:val="002060"/>
                <w:sz w:val="24"/>
                <w:szCs w:val="24"/>
                <w:lang w:val="en-US"/>
              </w:rPr>
              <w:t xml:space="preserve"> and Germany</w:t>
            </w:r>
            <w:r w:rsidR="0045542F">
              <w:rPr>
                <w:rFonts w:ascii="Calibri" w:eastAsia="Calibri" w:hAnsi="Calibri" w:cs="Calibri"/>
                <w:color w:val="002060"/>
                <w:sz w:val="24"/>
                <w:szCs w:val="24"/>
                <w:lang w:val="en-US"/>
              </w:rPr>
              <w:t>,</w:t>
            </w:r>
            <w:r w:rsidR="00175656">
              <w:rPr>
                <w:rFonts w:ascii="Calibri" w:eastAsia="Calibri" w:hAnsi="Calibri" w:cs="Calibri"/>
                <w:color w:val="002060"/>
                <w:sz w:val="24"/>
                <w:szCs w:val="24"/>
                <w:lang w:val="en-US"/>
              </w:rPr>
              <w:t xml:space="preserve"> is to provide online resources for secondary teachers </w:t>
            </w:r>
            <w:r w:rsidR="00175656">
              <w:rPr>
                <w:rFonts w:ascii="Calibri" w:eastAsia="Calibri" w:hAnsi="Calibri" w:cs="Calibri"/>
                <w:color w:val="002060"/>
                <w:sz w:val="24"/>
                <w:szCs w:val="24"/>
                <w:lang w:val="en-US"/>
              </w:rPr>
              <w:lastRenderedPageBreak/>
              <w:t>of all subjects about how to integrate global citizenship goals and multilingual pedagogies into their practices.</w:t>
            </w:r>
            <w:r w:rsidR="0045542F">
              <w:rPr>
                <w:rFonts w:ascii="Calibri" w:eastAsia="Calibri" w:hAnsi="Calibri" w:cs="Calibri"/>
                <w:color w:val="002060"/>
                <w:sz w:val="24"/>
                <w:szCs w:val="24"/>
                <w:lang w:val="en-US"/>
              </w:rPr>
              <w:t xml:space="preserve"> Teachers were pointed towards a </w:t>
            </w:r>
            <w:r w:rsidR="0045542F">
              <w:rPr>
                <w:rFonts w:ascii="Calibri" w:eastAsia="Calibri" w:hAnsi="Calibri" w:cs="Calibri"/>
                <w:color w:val="5B9BD5" w:themeColor="accent1"/>
                <w:sz w:val="24"/>
                <w:szCs w:val="24"/>
                <w:lang w:val="en-US"/>
              </w:rPr>
              <w:t>free copy of the methodology OSDE</w:t>
            </w:r>
            <w:r w:rsidR="0045542F">
              <w:rPr>
                <w:rFonts w:ascii="Calibri" w:eastAsia="Calibri" w:hAnsi="Calibri" w:cs="Calibri"/>
                <w:color w:val="002060"/>
                <w:sz w:val="24"/>
                <w:szCs w:val="24"/>
                <w:lang w:val="en-US"/>
              </w:rPr>
              <w:t xml:space="preserve"> [add link  </w:t>
            </w:r>
            <w:hyperlink r:id="rId7" w:history="1">
              <w:r w:rsidR="0045542F" w:rsidRPr="0045542F">
                <w:rPr>
                  <w:rFonts w:ascii="Calibri" w:eastAsia="Calibri" w:hAnsi="Calibri" w:cs="Calibri"/>
                  <w:color w:val="0000FF"/>
                  <w:sz w:val="24"/>
                  <w:szCs w:val="24"/>
                  <w:u w:val="single"/>
                  <w:bdr w:val="none" w:sz="0" w:space="0" w:color="auto" w:frame="1"/>
                  <w:shd w:val="clear" w:color="auto" w:fill="FFFFFF"/>
                  <w:lang w:eastAsia="en-GB"/>
                </w:rPr>
                <w:t>https://decolonialfutures.net/osde/</w:t>
              </w:r>
            </w:hyperlink>
            <w:r w:rsidR="0045542F" w:rsidRPr="0045542F">
              <w:rPr>
                <w:rFonts w:ascii="Calibri" w:eastAsia="Calibri" w:hAnsi="Calibri" w:cs="Calibri"/>
                <w:color w:val="000000"/>
                <w:sz w:val="24"/>
                <w:szCs w:val="24"/>
                <w:bdr w:val="none" w:sz="0" w:space="0" w:color="auto" w:frame="1"/>
                <w:shd w:val="clear" w:color="auto" w:fill="FFFFFF"/>
                <w:lang w:eastAsia="en-GB"/>
              </w:rPr>
              <w:t> </w:t>
            </w:r>
            <w:r w:rsidR="0045542F">
              <w:rPr>
                <w:rFonts w:ascii="Calibri" w:eastAsia="Calibri" w:hAnsi="Calibri" w:cs="Calibri"/>
                <w:color w:val="000000"/>
                <w:sz w:val="24"/>
                <w:szCs w:val="24"/>
                <w:bdr w:val="none" w:sz="0" w:space="0" w:color="auto" w:frame="1"/>
                <w:shd w:val="clear" w:color="auto" w:fill="FFFFFF"/>
                <w:lang w:eastAsia="en-GB"/>
              </w:rPr>
              <w:t xml:space="preserve">] </w:t>
            </w:r>
            <w:r w:rsidR="0045542F" w:rsidRPr="0045542F">
              <w:rPr>
                <w:rFonts w:ascii="Calibri" w:eastAsia="Calibri" w:hAnsi="Calibri" w:cs="Calibri"/>
                <w:color w:val="002060"/>
                <w:sz w:val="24"/>
                <w:szCs w:val="24"/>
                <w:bdr w:val="none" w:sz="0" w:space="0" w:color="auto" w:frame="1"/>
                <w:shd w:val="clear" w:color="auto" w:fill="FFFFFF"/>
                <w:lang w:eastAsia="en-GB"/>
              </w:rPr>
              <w:t xml:space="preserve">and </w:t>
            </w:r>
            <w:r w:rsidR="005D6AE4">
              <w:rPr>
                <w:rFonts w:ascii="Calibri" w:eastAsia="Calibri" w:hAnsi="Calibri" w:cs="Calibri"/>
                <w:color w:val="002060"/>
                <w:sz w:val="24"/>
                <w:szCs w:val="24"/>
                <w:bdr w:val="none" w:sz="0" w:space="0" w:color="auto" w:frame="1"/>
                <w:shd w:val="clear" w:color="auto" w:fill="FFFFFF"/>
                <w:lang w:eastAsia="en-GB"/>
              </w:rPr>
              <w:t>other</w:t>
            </w:r>
            <w:r w:rsidR="0045542F" w:rsidRPr="0076334D">
              <w:rPr>
                <w:rFonts w:ascii="Calibri" w:eastAsia="Calibri" w:hAnsi="Calibri" w:cs="Calibri"/>
                <w:color w:val="5B9BD5" w:themeColor="accent1"/>
                <w:sz w:val="24"/>
                <w:szCs w:val="24"/>
                <w:bdr w:val="none" w:sz="0" w:space="0" w:color="auto" w:frame="1"/>
                <w:shd w:val="clear" w:color="auto" w:fill="FFFFFF"/>
                <w:lang w:eastAsia="en-GB"/>
              </w:rPr>
              <w:t xml:space="preserve"> teaching materials</w:t>
            </w:r>
            <w:r w:rsidR="0045542F" w:rsidRPr="0045542F">
              <w:rPr>
                <w:rFonts w:ascii="Calibri" w:eastAsia="Calibri" w:hAnsi="Calibri" w:cs="Calibri"/>
                <w:color w:val="002060"/>
                <w:sz w:val="24"/>
                <w:szCs w:val="24"/>
                <w:bdr w:val="none" w:sz="0" w:space="0" w:color="auto" w:frame="1"/>
                <w:shd w:val="clear" w:color="auto" w:fill="FFFFFF"/>
                <w:lang w:eastAsia="en-GB"/>
              </w:rPr>
              <w:t xml:space="preserve"> [add link to </w:t>
            </w:r>
            <w:hyperlink r:id="rId8" w:history="1">
              <w:r w:rsidR="0045542F" w:rsidRPr="0045542F">
                <w:rPr>
                  <w:rFonts w:ascii="Calibri" w:eastAsia="Calibri" w:hAnsi="Calibri" w:cs="Calibri"/>
                  <w:color w:val="0000FF"/>
                  <w:sz w:val="24"/>
                  <w:szCs w:val="24"/>
                  <w:u w:val="single"/>
                  <w:bdr w:val="none" w:sz="0" w:space="0" w:color="auto" w:frame="1"/>
                  <w:shd w:val="clear" w:color="auto" w:fill="FFFFFF"/>
                  <w:lang w:eastAsia="en-GB"/>
                </w:rPr>
                <w:t>https://www.globalcitizen.org/fr/content/this-photo-series-will-make-you-see-race-in-a-new/</w:t>
              </w:r>
            </w:hyperlink>
            <w:r w:rsidR="0045542F" w:rsidRPr="0045542F">
              <w:rPr>
                <w:rFonts w:ascii="Calibri" w:eastAsia="Calibri" w:hAnsi="Calibri" w:cs="Calibri"/>
                <w:color w:val="000000"/>
                <w:sz w:val="24"/>
                <w:szCs w:val="24"/>
                <w:bdr w:val="none" w:sz="0" w:space="0" w:color="auto" w:frame="1"/>
                <w:shd w:val="clear" w:color="auto" w:fill="FFFFFF"/>
                <w:lang w:eastAsia="en-GB"/>
              </w:rPr>
              <w:t> </w:t>
            </w:r>
            <w:r w:rsidR="0045542F" w:rsidRPr="0045542F">
              <w:rPr>
                <w:rFonts w:ascii="Calibri" w:eastAsia="Calibri" w:hAnsi="Calibri" w:cs="Calibri"/>
                <w:color w:val="002060"/>
                <w:sz w:val="24"/>
                <w:szCs w:val="24"/>
                <w:bdr w:val="none" w:sz="0" w:space="0" w:color="auto" w:frame="1"/>
                <w:shd w:val="clear" w:color="auto" w:fill="FFFFFF"/>
                <w:lang w:eastAsia="en-GB"/>
              </w:rPr>
              <w:t>].</w:t>
            </w:r>
          </w:p>
          <w:p w14:paraId="314B2420" w14:textId="7EC4B9A5" w:rsidR="003754D6" w:rsidRDefault="00710764" w:rsidP="0076334D">
            <w:pPr>
              <w:shd w:val="clear" w:color="auto" w:fill="FFFFFF"/>
              <w:rPr>
                <w:rFonts w:ascii="Calibri" w:eastAsia="Calibri" w:hAnsi="Calibri" w:cs="Calibri"/>
                <w:color w:val="002060"/>
                <w:sz w:val="24"/>
                <w:szCs w:val="24"/>
                <w:lang w:val="en-US"/>
              </w:rPr>
            </w:pPr>
            <w:r w:rsidRPr="0076334D">
              <w:rPr>
                <w:rFonts w:ascii="Calibri" w:eastAsia="Calibri" w:hAnsi="Calibri" w:cs="Calibri"/>
                <w:b/>
                <w:bCs/>
                <w:color w:val="002060"/>
                <w:sz w:val="24"/>
                <w:szCs w:val="24"/>
                <w:lang w:val="en-US"/>
              </w:rPr>
              <w:t xml:space="preserve">Dr Victorina González-Díaz </w:t>
            </w:r>
            <w:r w:rsidRPr="0076334D">
              <w:rPr>
                <w:rFonts w:ascii="Calibri" w:eastAsia="Calibri" w:hAnsi="Calibri" w:cs="Calibri"/>
                <w:color w:val="002060"/>
                <w:sz w:val="24"/>
                <w:szCs w:val="24"/>
                <w:lang w:val="en-US"/>
              </w:rPr>
              <w:t>(University of Liverpool)</w:t>
            </w:r>
            <w:r w:rsidRPr="0076334D">
              <w:rPr>
                <w:rFonts w:ascii="Calibri" w:eastAsia="Calibri" w:hAnsi="Calibri" w:cs="Calibri"/>
                <w:b/>
                <w:bCs/>
                <w:color w:val="002060"/>
                <w:sz w:val="24"/>
                <w:szCs w:val="24"/>
                <w:lang w:val="en-US"/>
              </w:rPr>
              <w:t xml:space="preserve"> </w:t>
            </w:r>
            <w:r w:rsidRPr="0076334D">
              <w:rPr>
                <w:rFonts w:ascii="Calibri" w:eastAsia="Calibri" w:hAnsi="Calibri" w:cs="Calibri"/>
                <w:color w:val="002060"/>
                <w:sz w:val="24"/>
                <w:szCs w:val="24"/>
                <w:lang w:val="en-US"/>
              </w:rPr>
              <w:t xml:space="preserve">and </w:t>
            </w:r>
            <w:r w:rsidRPr="0076334D">
              <w:rPr>
                <w:rFonts w:ascii="Calibri" w:eastAsia="Calibri" w:hAnsi="Calibri" w:cs="Calibri"/>
                <w:b/>
                <w:bCs/>
                <w:color w:val="002060"/>
                <w:sz w:val="24"/>
                <w:szCs w:val="24"/>
                <w:lang w:val="en-US"/>
              </w:rPr>
              <w:t xml:space="preserve">Dr Elizabeth Parr </w:t>
            </w:r>
            <w:r w:rsidRPr="0076334D">
              <w:rPr>
                <w:rFonts w:ascii="Calibri" w:eastAsia="Calibri" w:hAnsi="Calibri" w:cs="Calibri"/>
                <w:color w:val="002060"/>
                <w:sz w:val="24"/>
                <w:szCs w:val="24"/>
                <w:lang w:val="en-US"/>
              </w:rPr>
              <w:t>(Liverpool Hope University)</w:t>
            </w:r>
            <w:r>
              <w:rPr>
                <w:rFonts w:ascii="Calibri" w:eastAsia="Calibri" w:hAnsi="Calibri" w:cs="Calibri"/>
                <w:color w:val="002060"/>
                <w:sz w:val="24"/>
                <w:szCs w:val="24"/>
                <w:lang w:val="en-US"/>
              </w:rPr>
              <w:t xml:space="preserve"> reported on their project on the gender-gap in writing in Liverpool primary schools. Their workshop </w:t>
            </w:r>
            <w:r w:rsidRPr="0076334D">
              <w:rPr>
                <w:rFonts w:ascii="Calibri" w:eastAsia="Calibri" w:hAnsi="Calibri" w:cs="Calibri"/>
                <w:b/>
                <w:bCs/>
                <w:color w:val="002060"/>
                <w:sz w:val="24"/>
                <w:szCs w:val="24"/>
                <w:lang w:val="en-US"/>
              </w:rPr>
              <w:t>‘I” think I don’t like to do the gender division, but…”: addressing the gender-gap in primary school writing’</w:t>
            </w:r>
            <w:r>
              <w:rPr>
                <w:rFonts w:ascii="Calibri" w:eastAsia="Calibri" w:hAnsi="Calibri" w:cs="Calibri"/>
                <w:color w:val="002060"/>
                <w:sz w:val="24"/>
                <w:szCs w:val="24"/>
                <w:lang w:val="en-US"/>
              </w:rPr>
              <w:t xml:space="preserve"> </w:t>
            </w:r>
            <w:r w:rsidR="004270A7">
              <w:rPr>
                <w:rFonts w:ascii="Calibri" w:eastAsia="Calibri" w:hAnsi="Calibri" w:cs="Calibri"/>
                <w:color w:val="002060"/>
                <w:sz w:val="24"/>
                <w:szCs w:val="24"/>
                <w:lang w:val="en-US"/>
              </w:rPr>
              <w:t>[add link to</w:t>
            </w:r>
            <w:r w:rsidR="00C36BB4">
              <w:rPr>
                <w:rFonts w:ascii="Calibri" w:eastAsia="Calibri" w:hAnsi="Calibri" w:cs="Calibri"/>
                <w:color w:val="002060"/>
                <w:sz w:val="24"/>
                <w:szCs w:val="24"/>
                <w:lang w:val="en-US"/>
              </w:rPr>
              <w:t xml:space="preserve"> ppt Gonzalez-Diaz and Parr]</w:t>
            </w:r>
            <w:r w:rsidR="004270A7">
              <w:rPr>
                <w:rFonts w:ascii="Calibri" w:eastAsia="Calibri" w:hAnsi="Calibri" w:cs="Calibri"/>
                <w:color w:val="002060"/>
                <w:sz w:val="24"/>
                <w:szCs w:val="24"/>
                <w:lang w:val="en-US"/>
              </w:rPr>
              <w:t xml:space="preserve"> </w:t>
            </w:r>
            <w:r>
              <w:rPr>
                <w:rFonts w:ascii="Calibri" w:eastAsia="Calibri" w:hAnsi="Calibri" w:cs="Calibri"/>
                <w:color w:val="002060"/>
                <w:sz w:val="24"/>
                <w:szCs w:val="24"/>
                <w:lang w:val="en-US"/>
              </w:rPr>
              <w:t>provided a forum to reflect on ways in which research-based evidence can be used to raise awareness of and counteract stereotypes on gendered writing in the primary school context.</w:t>
            </w:r>
          </w:p>
          <w:p w14:paraId="39B72CF8" w14:textId="77777777" w:rsidR="0076334D" w:rsidRDefault="0076334D" w:rsidP="0083664D">
            <w:pPr>
              <w:rPr>
                <w:rFonts w:ascii="Calibri" w:eastAsia="Calibri" w:hAnsi="Calibri" w:cs="Calibri"/>
                <w:color w:val="002060"/>
                <w:sz w:val="24"/>
                <w:szCs w:val="24"/>
                <w:lang w:val="en-US"/>
              </w:rPr>
            </w:pPr>
          </w:p>
          <w:p w14:paraId="06044B97" w14:textId="6623C649" w:rsidR="00833D36" w:rsidRDefault="00833D36" w:rsidP="0083664D">
            <w:pPr>
              <w:rPr>
                <w:rFonts w:ascii="Calibri" w:eastAsia="Calibri" w:hAnsi="Calibri" w:cs="Calibri"/>
                <w:color w:val="002060"/>
                <w:sz w:val="24"/>
                <w:szCs w:val="24"/>
                <w:lang w:val="en-US"/>
              </w:rPr>
            </w:pPr>
            <w:r>
              <w:rPr>
                <w:rFonts w:ascii="Calibri" w:eastAsia="Calibri" w:hAnsi="Calibri" w:cs="Calibri"/>
                <w:color w:val="002060"/>
                <w:sz w:val="24"/>
                <w:szCs w:val="24"/>
                <w:lang w:val="en-US"/>
              </w:rPr>
              <w:t xml:space="preserve">The conference ended with </w:t>
            </w:r>
            <w:r w:rsidRPr="0076334D">
              <w:rPr>
                <w:rFonts w:ascii="Calibri" w:eastAsia="Calibri" w:hAnsi="Calibri" w:cs="Calibri"/>
                <w:b/>
                <w:bCs/>
                <w:color w:val="002060"/>
                <w:sz w:val="24"/>
                <w:szCs w:val="24"/>
                <w:lang w:val="en-US"/>
              </w:rPr>
              <w:t>Dr Ian Cushing</w:t>
            </w:r>
            <w:r>
              <w:rPr>
                <w:rFonts w:ascii="Calibri" w:eastAsia="Calibri" w:hAnsi="Calibri" w:cs="Calibri"/>
                <w:color w:val="002060"/>
                <w:sz w:val="24"/>
                <w:szCs w:val="24"/>
                <w:lang w:val="en-US"/>
              </w:rPr>
              <w:t xml:space="preserve"> (Edge Hill University / Manchester Metropolitan University) talking about </w:t>
            </w:r>
            <w:r w:rsidRPr="0076334D">
              <w:rPr>
                <w:rFonts w:ascii="Calibri" w:eastAsia="Calibri" w:hAnsi="Calibri" w:cs="Calibri"/>
                <w:b/>
                <w:bCs/>
                <w:color w:val="002060"/>
                <w:sz w:val="24"/>
                <w:szCs w:val="24"/>
                <w:lang w:val="en-US"/>
              </w:rPr>
              <w:t xml:space="preserve">‘Anti-Black linguistic racism in England’s schools: a </w:t>
            </w:r>
            <w:proofErr w:type="spellStart"/>
            <w:r w:rsidRPr="0076334D">
              <w:rPr>
                <w:rFonts w:ascii="Calibri" w:eastAsia="Calibri" w:hAnsi="Calibri" w:cs="Calibri"/>
                <w:b/>
                <w:bCs/>
                <w:color w:val="002060"/>
                <w:sz w:val="24"/>
                <w:szCs w:val="24"/>
                <w:lang w:val="en-US"/>
              </w:rPr>
              <w:t>raciolinguistic</w:t>
            </w:r>
            <w:proofErr w:type="spellEnd"/>
            <w:r w:rsidRPr="0076334D">
              <w:rPr>
                <w:rFonts w:ascii="Calibri" w:eastAsia="Calibri" w:hAnsi="Calibri" w:cs="Calibri"/>
                <w:b/>
                <w:bCs/>
                <w:color w:val="002060"/>
                <w:sz w:val="24"/>
                <w:szCs w:val="24"/>
                <w:lang w:val="en-US"/>
              </w:rPr>
              <w:t xml:space="preserve"> perspective</w:t>
            </w:r>
            <w:r w:rsidR="0076334D">
              <w:rPr>
                <w:rFonts w:ascii="Calibri" w:eastAsia="Calibri" w:hAnsi="Calibri" w:cs="Calibri"/>
                <w:b/>
                <w:bCs/>
                <w:color w:val="002060"/>
                <w:sz w:val="24"/>
                <w:szCs w:val="24"/>
                <w:lang w:val="en-US"/>
              </w:rPr>
              <w:t>’</w:t>
            </w:r>
            <w:r>
              <w:rPr>
                <w:rFonts w:ascii="Calibri" w:eastAsia="Calibri" w:hAnsi="Calibri" w:cs="Calibri"/>
                <w:color w:val="002060"/>
                <w:sz w:val="24"/>
                <w:szCs w:val="24"/>
                <w:lang w:val="en-US"/>
              </w:rPr>
              <w:t xml:space="preserve"> [add link to ppt</w:t>
            </w:r>
            <w:r w:rsidR="008C68EB">
              <w:rPr>
                <w:rFonts w:ascii="Calibri" w:eastAsia="Calibri" w:hAnsi="Calibri" w:cs="Calibri"/>
                <w:color w:val="002060"/>
                <w:sz w:val="24"/>
                <w:szCs w:val="24"/>
                <w:lang w:val="en-US"/>
              </w:rPr>
              <w:t xml:space="preserve"> Cushing </w:t>
            </w:r>
            <w:r w:rsidR="00C36BB4">
              <w:rPr>
                <w:rFonts w:ascii="Calibri" w:eastAsia="Calibri" w:hAnsi="Calibri" w:cs="Calibri"/>
                <w:color w:val="002060"/>
                <w:sz w:val="24"/>
                <w:szCs w:val="24"/>
                <w:lang w:val="en-US"/>
              </w:rPr>
              <w:t>Global Voices</w:t>
            </w:r>
            <w:r>
              <w:rPr>
                <w:rFonts w:ascii="Calibri" w:eastAsia="Calibri" w:hAnsi="Calibri" w:cs="Calibri"/>
                <w:color w:val="002060"/>
                <w:sz w:val="24"/>
                <w:szCs w:val="24"/>
                <w:lang w:val="en-US"/>
              </w:rPr>
              <w:t>]. He showed how</w:t>
            </w:r>
            <w:r w:rsidR="008C68EB">
              <w:rPr>
                <w:rFonts w:ascii="Calibri" w:eastAsia="Calibri" w:hAnsi="Calibri" w:cs="Calibri"/>
                <w:color w:val="002060"/>
                <w:sz w:val="24"/>
                <w:szCs w:val="24"/>
                <w:lang w:val="en-US"/>
              </w:rPr>
              <w:t xml:space="preserve">, for a long time, </w:t>
            </w:r>
            <w:r>
              <w:rPr>
                <w:rFonts w:ascii="Calibri" w:eastAsia="Calibri" w:hAnsi="Calibri" w:cs="Calibri"/>
                <w:color w:val="002060"/>
                <w:sz w:val="24"/>
                <w:szCs w:val="24"/>
                <w:lang w:val="en-US"/>
              </w:rPr>
              <w:t xml:space="preserve">whole communities </w:t>
            </w:r>
            <w:r w:rsidR="008C68EB">
              <w:rPr>
                <w:rFonts w:ascii="Calibri" w:eastAsia="Calibri" w:hAnsi="Calibri" w:cs="Calibri"/>
                <w:color w:val="002060"/>
                <w:sz w:val="24"/>
                <w:szCs w:val="24"/>
                <w:lang w:val="en-US"/>
              </w:rPr>
              <w:t>have been</w:t>
            </w:r>
            <w:r>
              <w:rPr>
                <w:rFonts w:ascii="Calibri" w:eastAsia="Calibri" w:hAnsi="Calibri" w:cs="Calibri"/>
                <w:color w:val="002060"/>
                <w:sz w:val="24"/>
                <w:szCs w:val="24"/>
                <w:lang w:val="en-US"/>
              </w:rPr>
              <w:t xml:space="preserve"> categorized as linguistically deficient. </w:t>
            </w:r>
            <w:r w:rsidR="008C68EB">
              <w:rPr>
                <w:rFonts w:ascii="Calibri" w:eastAsia="Calibri" w:hAnsi="Calibri" w:cs="Calibri"/>
                <w:color w:val="002060"/>
                <w:sz w:val="24"/>
                <w:szCs w:val="24"/>
                <w:lang w:val="en-US"/>
              </w:rPr>
              <w:t>Masking structural inequality, s</w:t>
            </w:r>
            <w:r w:rsidR="003256F6">
              <w:rPr>
                <w:rFonts w:ascii="Calibri" w:eastAsia="Calibri" w:hAnsi="Calibri" w:cs="Calibri"/>
                <w:color w:val="002060"/>
                <w:sz w:val="24"/>
                <w:szCs w:val="24"/>
                <w:lang w:val="en-US"/>
              </w:rPr>
              <w:t xml:space="preserve">uch deficit discourses </w:t>
            </w:r>
            <w:r w:rsidR="008B2247">
              <w:rPr>
                <w:rFonts w:ascii="Calibri" w:eastAsia="Calibri" w:hAnsi="Calibri" w:cs="Calibri"/>
                <w:color w:val="002060"/>
                <w:sz w:val="24"/>
                <w:szCs w:val="24"/>
                <w:lang w:val="en-US"/>
              </w:rPr>
              <w:t xml:space="preserve">in schools </w:t>
            </w:r>
            <w:r w:rsidR="003256F6">
              <w:rPr>
                <w:rFonts w:ascii="Calibri" w:eastAsia="Calibri" w:hAnsi="Calibri" w:cs="Calibri"/>
                <w:color w:val="002060"/>
                <w:sz w:val="24"/>
                <w:szCs w:val="24"/>
                <w:lang w:val="en-US"/>
              </w:rPr>
              <w:t xml:space="preserve">marginalize and disadvantage </w:t>
            </w:r>
            <w:r w:rsidR="008B2247">
              <w:rPr>
                <w:rFonts w:ascii="Calibri" w:eastAsia="Calibri" w:hAnsi="Calibri" w:cs="Calibri"/>
                <w:color w:val="002060"/>
                <w:sz w:val="24"/>
                <w:szCs w:val="24"/>
                <w:lang w:val="en-US"/>
              </w:rPr>
              <w:t>pupils, since they connect linguistic categories with intellectual capacity.</w:t>
            </w:r>
          </w:p>
          <w:p w14:paraId="12A158E6" w14:textId="039184AD" w:rsidR="005D6AE4" w:rsidRDefault="005D6AE4" w:rsidP="0083664D">
            <w:pPr>
              <w:rPr>
                <w:rFonts w:ascii="Calibri" w:eastAsia="Calibri" w:hAnsi="Calibri" w:cs="Calibri"/>
                <w:color w:val="002060"/>
                <w:sz w:val="24"/>
                <w:szCs w:val="24"/>
                <w:lang w:val="en-US"/>
              </w:rPr>
            </w:pPr>
          </w:p>
          <w:p w14:paraId="6CEEF64D" w14:textId="306D4EEB" w:rsidR="005D6AE4" w:rsidRDefault="009510B4" w:rsidP="0083664D">
            <w:pPr>
              <w:rPr>
                <w:rFonts w:ascii="Calibri" w:eastAsia="Calibri" w:hAnsi="Calibri" w:cs="Calibri"/>
                <w:color w:val="002060"/>
                <w:sz w:val="24"/>
                <w:szCs w:val="24"/>
                <w:lang w:val="en-US"/>
              </w:rPr>
            </w:pPr>
            <w:r>
              <w:rPr>
                <w:rFonts w:ascii="Calibri" w:eastAsia="Calibri" w:hAnsi="Calibri" w:cs="Calibri"/>
                <w:color w:val="002060"/>
                <w:sz w:val="24"/>
                <w:szCs w:val="24"/>
                <w:lang w:val="en-US"/>
              </w:rPr>
              <w:t xml:space="preserve">Teachers attending the conference were very positive about the event. They commented on the ‘good balance of information and workshops’ and found that the conference offered ‘a great choice of topics and presenters relevant to our educational settings’. </w:t>
            </w:r>
            <w:r w:rsidR="00A03123">
              <w:rPr>
                <w:rFonts w:ascii="Calibri" w:eastAsia="Calibri" w:hAnsi="Calibri" w:cs="Calibri"/>
                <w:color w:val="002060"/>
                <w:sz w:val="24"/>
                <w:szCs w:val="24"/>
                <w:lang w:val="en-US"/>
              </w:rPr>
              <w:t xml:space="preserve">Time flew by as teachers and researchers were engaged in animated conversation. </w:t>
            </w:r>
            <w:r>
              <w:rPr>
                <w:rFonts w:ascii="Calibri" w:eastAsia="Calibri" w:hAnsi="Calibri" w:cs="Calibri"/>
                <w:color w:val="002060"/>
                <w:sz w:val="24"/>
                <w:szCs w:val="24"/>
                <w:lang w:val="en-US"/>
              </w:rPr>
              <w:t xml:space="preserve">Many participants shared the feeling that the conference was too short: ‘… a full day next time!’ </w:t>
            </w:r>
          </w:p>
          <w:p w14:paraId="66186EF5" w14:textId="77777777" w:rsidR="005D6AE4" w:rsidRDefault="005D6AE4" w:rsidP="0083664D">
            <w:pPr>
              <w:rPr>
                <w:rFonts w:ascii="Calibri" w:eastAsia="Calibri" w:hAnsi="Calibri" w:cs="Calibri"/>
                <w:color w:val="002060"/>
                <w:sz w:val="24"/>
                <w:szCs w:val="24"/>
                <w:lang w:val="en-US"/>
              </w:rPr>
            </w:pPr>
          </w:p>
          <w:p w14:paraId="0F197612" w14:textId="77777777" w:rsidR="00833D36" w:rsidRDefault="00833D36" w:rsidP="0083664D">
            <w:pPr>
              <w:rPr>
                <w:rFonts w:ascii="Calibri" w:eastAsia="Calibri" w:hAnsi="Calibri" w:cs="Calibri"/>
                <w:color w:val="002060"/>
                <w:sz w:val="24"/>
                <w:szCs w:val="24"/>
                <w:lang w:val="en-US"/>
              </w:rPr>
            </w:pPr>
          </w:p>
          <w:p w14:paraId="03A73246" w14:textId="347D85AA" w:rsidR="009B06E9" w:rsidRDefault="009B06E9" w:rsidP="00710764"/>
        </w:tc>
      </w:tr>
    </w:tbl>
    <w:p w14:paraId="39964481" w14:textId="037B5A75" w:rsidR="00881F0D" w:rsidRDefault="00881F0D" w:rsidP="00CE591F">
      <w:pPr>
        <w:jc w:val="center"/>
        <w:rPr>
          <w:color w:val="002060"/>
        </w:rPr>
      </w:pPr>
    </w:p>
    <w:sectPr w:rsidR="00881F0D" w:rsidSect="00624A58">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602C"/>
    <w:multiLevelType w:val="hybridMultilevel"/>
    <w:tmpl w:val="7BF84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C4"/>
    <w:rsid w:val="00004E55"/>
    <w:rsid w:val="000330C6"/>
    <w:rsid w:val="00034DE2"/>
    <w:rsid w:val="00041518"/>
    <w:rsid w:val="0005412D"/>
    <w:rsid w:val="00057033"/>
    <w:rsid w:val="00091BCC"/>
    <w:rsid w:val="00097A2F"/>
    <w:rsid w:val="000B1453"/>
    <w:rsid w:val="000F377C"/>
    <w:rsid w:val="000F526E"/>
    <w:rsid w:val="001422B5"/>
    <w:rsid w:val="00150C99"/>
    <w:rsid w:val="00157D7D"/>
    <w:rsid w:val="00175656"/>
    <w:rsid w:val="00226957"/>
    <w:rsid w:val="00243848"/>
    <w:rsid w:val="00264C2E"/>
    <w:rsid w:val="0027463B"/>
    <w:rsid w:val="0028793C"/>
    <w:rsid w:val="002B3B18"/>
    <w:rsid w:val="002B6977"/>
    <w:rsid w:val="002C04B1"/>
    <w:rsid w:val="002F0FEA"/>
    <w:rsid w:val="00314BD7"/>
    <w:rsid w:val="003256F6"/>
    <w:rsid w:val="00333B60"/>
    <w:rsid w:val="003754D6"/>
    <w:rsid w:val="003A1EB0"/>
    <w:rsid w:val="003B20C6"/>
    <w:rsid w:val="003C5FA0"/>
    <w:rsid w:val="00405D4A"/>
    <w:rsid w:val="004270A7"/>
    <w:rsid w:val="004439AC"/>
    <w:rsid w:val="004544A6"/>
    <w:rsid w:val="0045542F"/>
    <w:rsid w:val="004772FD"/>
    <w:rsid w:val="00495813"/>
    <w:rsid w:val="004A4D94"/>
    <w:rsid w:val="004F3CCB"/>
    <w:rsid w:val="00544A46"/>
    <w:rsid w:val="005D6AE4"/>
    <w:rsid w:val="005E1149"/>
    <w:rsid w:val="005F7BE0"/>
    <w:rsid w:val="00624A58"/>
    <w:rsid w:val="00654CE9"/>
    <w:rsid w:val="00661451"/>
    <w:rsid w:val="006717F3"/>
    <w:rsid w:val="00684DAA"/>
    <w:rsid w:val="006975E0"/>
    <w:rsid w:val="006A6444"/>
    <w:rsid w:val="00710764"/>
    <w:rsid w:val="00747B44"/>
    <w:rsid w:val="0076334D"/>
    <w:rsid w:val="00763579"/>
    <w:rsid w:val="00792F4D"/>
    <w:rsid w:val="007A687D"/>
    <w:rsid w:val="007B35D5"/>
    <w:rsid w:val="008158F5"/>
    <w:rsid w:val="00833D36"/>
    <w:rsid w:val="0083664D"/>
    <w:rsid w:val="00857543"/>
    <w:rsid w:val="00877C20"/>
    <w:rsid w:val="00881F0D"/>
    <w:rsid w:val="0089153D"/>
    <w:rsid w:val="00893F1F"/>
    <w:rsid w:val="008B2247"/>
    <w:rsid w:val="008C68EB"/>
    <w:rsid w:val="009128C4"/>
    <w:rsid w:val="009334AC"/>
    <w:rsid w:val="009379C8"/>
    <w:rsid w:val="009510B4"/>
    <w:rsid w:val="009B06E9"/>
    <w:rsid w:val="009C6572"/>
    <w:rsid w:val="009D7874"/>
    <w:rsid w:val="009E019F"/>
    <w:rsid w:val="009F204E"/>
    <w:rsid w:val="009F45A0"/>
    <w:rsid w:val="00A03123"/>
    <w:rsid w:val="00A277E5"/>
    <w:rsid w:val="00A76EDD"/>
    <w:rsid w:val="00AB1697"/>
    <w:rsid w:val="00AC7A17"/>
    <w:rsid w:val="00AD46B2"/>
    <w:rsid w:val="00B03003"/>
    <w:rsid w:val="00B37421"/>
    <w:rsid w:val="00B41BF5"/>
    <w:rsid w:val="00B54F3C"/>
    <w:rsid w:val="00B61B33"/>
    <w:rsid w:val="00B92789"/>
    <w:rsid w:val="00BA4F8F"/>
    <w:rsid w:val="00C15E73"/>
    <w:rsid w:val="00C20D3A"/>
    <w:rsid w:val="00C36BB4"/>
    <w:rsid w:val="00C53FAB"/>
    <w:rsid w:val="00C9035C"/>
    <w:rsid w:val="00CA167C"/>
    <w:rsid w:val="00CD1246"/>
    <w:rsid w:val="00CE591F"/>
    <w:rsid w:val="00D30055"/>
    <w:rsid w:val="00D350C9"/>
    <w:rsid w:val="00D53B46"/>
    <w:rsid w:val="00DD6F32"/>
    <w:rsid w:val="00E14C40"/>
    <w:rsid w:val="00E47A4B"/>
    <w:rsid w:val="00E55191"/>
    <w:rsid w:val="00E82E6A"/>
    <w:rsid w:val="00E9017A"/>
    <w:rsid w:val="00EC6BC6"/>
    <w:rsid w:val="00EE3A05"/>
    <w:rsid w:val="00EF30FA"/>
    <w:rsid w:val="00F40895"/>
    <w:rsid w:val="00F477BD"/>
    <w:rsid w:val="00F52E74"/>
    <w:rsid w:val="00F61A5F"/>
    <w:rsid w:val="00F84611"/>
    <w:rsid w:val="00F96AEC"/>
    <w:rsid w:val="00FC59A1"/>
    <w:rsid w:val="00FD2B9C"/>
    <w:rsid w:val="00FE7F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72A9"/>
  <w15:chartTrackingRefBased/>
  <w15:docId w15:val="{A49CFCE2-00EE-4ADD-BAAF-FCA8DFD1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28C4"/>
    <w:rPr>
      <w:color w:val="0000FF"/>
      <w:u w:val="single"/>
    </w:rPr>
  </w:style>
  <w:style w:type="character" w:styleId="Emphasis">
    <w:name w:val="Emphasis"/>
    <w:basedOn w:val="DefaultParagraphFont"/>
    <w:uiPriority w:val="20"/>
    <w:qFormat/>
    <w:rsid w:val="00405D4A"/>
    <w:rPr>
      <w:i/>
      <w:iCs/>
    </w:rPr>
  </w:style>
  <w:style w:type="table" w:styleId="TableGrid">
    <w:name w:val="Table Grid"/>
    <w:basedOn w:val="TableNormal"/>
    <w:uiPriority w:val="39"/>
    <w:rsid w:val="00454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4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A58"/>
    <w:rPr>
      <w:rFonts w:ascii="Segoe UI" w:hAnsi="Segoe UI" w:cs="Segoe UI"/>
      <w:sz w:val="18"/>
      <w:szCs w:val="18"/>
    </w:rPr>
  </w:style>
  <w:style w:type="paragraph" w:customStyle="1" w:styleId="Default">
    <w:name w:val="Default"/>
    <w:rsid w:val="00264C2E"/>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243848"/>
    <w:pPr>
      <w:ind w:left="720"/>
      <w:contextualSpacing/>
    </w:pPr>
  </w:style>
  <w:style w:type="paragraph" w:styleId="NormalWeb">
    <w:name w:val="Normal (Web)"/>
    <w:basedOn w:val="Normal"/>
    <w:uiPriority w:val="99"/>
    <w:semiHidden/>
    <w:unhideWhenUsed/>
    <w:rsid w:val="00EC6BC6"/>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F52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80963">
      <w:bodyDiv w:val="1"/>
      <w:marLeft w:val="0"/>
      <w:marRight w:val="0"/>
      <w:marTop w:val="0"/>
      <w:marBottom w:val="0"/>
      <w:divBdr>
        <w:top w:val="none" w:sz="0" w:space="0" w:color="auto"/>
        <w:left w:val="none" w:sz="0" w:space="0" w:color="auto"/>
        <w:bottom w:val="none" w:sz="0" w:space="0" w:color="auto"/>
        <w:right w:val="none" w:sz="0" w:space="0" w:color="auto"/>
      </w:divBdr>
      <w:divsChild>
        <w:div w:id="1256474485">
          <w:marLeft w:val="0"/>
          <w:marRight w:val="0"/>
          <w:marTop w:val="0"/>
          <w:marBottom w:val="0"/>
          <w:divBdr>
            <w:top w:val="none" w:sz="0" w:space="0" w:color="auto"/>
            <w:left w:val="none" w:sz="0" w:space="0" w:color="auto"/>
            <w:bottom w:val="none" w:sz="0" w:space="0" w:color="auto"/>
            <w:right w:val="none" w:sz="0" w:space="0" w:color="auto"/>
          </w:divBdr>
          <w:divsChild>
            <w:div w:id="638346059">
              <w:marLeft w:val="0"/>
              <w:marRight w:val="0"/>
              <w:marTop w:val="0"/>
              <w:marBottom w:val="0"/>
              <w:divBdr>
                <w:top w:val="none" w:sz="0" w:space="0" w:color="auto"/>
                <w:left w:val="none" w:sz="0" w:space="0" w:color="auto"/>
                <w:bottom w:val="none" w:sz="0" w:space="0" w:color="auto"/>
                <w:right w:val="none" w:sz="0" w:space="0" w:color="auto"/>
              </w:divBdr>
              <w:divsChild>
                <w:div w:id="1359430592">
                  <w:marLeft w:val="0"/>
                  <w:marRight w:val="0"/>
                  <w:marTop w:val="0"/>
                  <w:marBottom w:val="0"/>
                  <w:divBdr>
                    <w:top w:val="none" w:sz="0" w:space="0" w:color="auto"/>
                    <w:left w:val="none" w:sz="0" w:space="0" w:color="auto"/>
                    <w:bottom w:val="none" w:sz="0" w:space="0" w:color="auto"/>
                    <w:right w:val="none" w:sz="0" w:space="0" w:color="auto"/>
                  </w:divBdr>
                  <w:divsChild>
                    <w:div w:id="186062364">
                      <w:marLeft w:val="0"/>
                      <w:marRight w:val="0"/>
                      <w:marTop w:val="0"/>
                      <w:marBottom w:val="0"/>
                      <w:divBdr>
                        <w:top w:val="none" w:sz="0" w:space="0" w:color="auto"/>
                        <w:left w:val="none" w:sz="0" w:space="0" w:color="auto"/>
                        <w:bottom w:val="none" w:sz="0" w:space="0" w:color="auto"/>
                        <w:right w:val="none" w:sz="0" w:space="0" w:color="auto"/>
                      </w:divBdr>
                      <w:divsChild>
                        <w:div w:id="1422797076">
                          <w:marLeft w:val="0"/>
                          <w:marRight w:val="0"/>
                          <w:marTop w:val="0"/>
                          <w:marBottom w:val="0"/>
                          <w:divBdr>
                            <w:top w:val="none" w:sz="0" w:space="0" w:color="auto"/>
                            <w:left w:val="none" w:sz="0" w:space="0" w:color="auto"/>
                            <w:bottom w:val="none" w:sz="0" w:space="0" w:color="auto"/>
                            <w:right w:val="none" w:sz="0" w:space="0" w:color="auto"/>
                          </w:divBdr>
                          <w:divsChild>
                            <w:div w:id="248270475">
                              <w:marLeft w:val="0"/>
                              <w:marRight w:val="0"/>
                              <w:marTop w:val="0"/>
                              <w:marBottom w:val="0"/>
                              <w:divBdr>
                                <w:top w:val="none" w:sz="0" w:space="0" w:color="auto"/>
                                <w:left w:val="none" w:sz="0" w:space="0" w:color="auto"/>
                                <w:bottom w:val="none" w:sz="0" w:space="0" w:color="auto"/>
                                <w:right w:val="none" w:sz="0" w:space="0" w:color="auto"/>
                              </w:divBdr>
                              <w:divsChild>
                                <w:div w:id="18776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9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1185">
      <w:bodyDiv w:val="1"/>
      <w:marLeft w:val="0"/>
      <w:marRight w:val="0"/>
      <w:marTop w:val="0"/>
      <w:marBottom w:val="0"/>
      <w:divBdr>
        <w:top w:val="none" w:sz="0" w:space="0" w:color="auto"/>
        <w:left w:val="none" w:sz="0" w:space="0" w:color="auto"/>
        <w:bottom w:val="none" w:sz="0" w:space="0" w:color="auto"/>
        <w:right w:val="none" w:sz="0" w:space="0" w:color="auto"/>
      </w:divBdr>
    </w:div>
    <w:div w:id="540245075">
      <w:bodyDiv w:val="1"/>
      <w:marLeft w:val="0"/>
      <w:marRight w:val="0"/>
      <w:marTop w:val="0"/>
      <w:marBottom w:val="0"/>
      <w:divBdr>
        <w:top w:val="none" w:sz="0" w:space="0" w:color="auto"/>
        <w:left w:val="none" w:sz="0" w:space="0" w:color="auto"/>
        <w:bottom w:val="none" w:sz="0" w:space="0" w:color="auto"/>
        <w:right w:val="none" w:sz="0" w:space="0" w:color="auto"/>
      </w:divBdr>
      <w:divsChild>
        <w:div w:id="1743985326">
          <w:marLeft w:val="0"/>
          <w:marRight w:val="0"/>
          <w:marTop w:val="0"/>
          <w:marBottom w:val="0"/>
          <w:divBdr>
            <w:top w:val="none" w:sz="0" w:space="0" w:color="auto"/>
            <w:left w:val="none" w:sz="0" w:space="0" w:color="auto"/>
            <w:bottom w:val="none" w:sz="0" w:space="0" w:color="auto"/>
            <w:right w:val="none" w:sz="0" w:space="0" w:color="auto"/>
          </w:divBdr>
          <w:divsChild>
            <w:div w:id="473257452">
              <w:marLeft w:val="0"/>
              <w:marRight w:val="0"/>
              <w:marTop w:val="0"/>
              <w:marBottom w:val="0"/>
              <w:divBdr>
                <w:top w:val="none" w:sz="0" w:space="0" w:color="auto"/>
                <w:left w:val="none" w:sz="0" w:space="0" w:color="auto"/>
                <w:bottom w:val="none" w:sz="0" w:space="0" w:color="auto"/>
                <w:right w:val="none" w:sz="0" w:space="0" w:color="auto"/>
              </w:divBdr>
              <w:divsChild>
                <w:div w:id="56973813">
                  <w:marLeft w:val="0"/>
                  <w:marRight w:val="0"/>
                  <w:marTop w:val="0"/>
                  <w:marBottom w:val="0"/>
                  <w:divBdr>
                    <w:top w:val="none" w:sz="0" w:space="0" w:color="auto"/>
                    <w:left w:val="none" w:sz="0" w:space="0" w:color="auto"/>
                    <w:bottom w:val="none" w:sz="0" w:space="0" w:color="auto"/>
                    <w:right w:val="none" w:sz="0" w:space="0" w:color="auto"/>
                  </w:divBdr>
                  <w:divsChild>
                    <w:div w:id="1884905055">
                      <w:marLeft w:val="0"/>
                      <w:marRight w:val="0"/>
                      <w:marTop w:val="0"/>
                      <w:marBottom w:val="0"/>
                      <w:divBdr>
                        <w:top w:val="none" w:sz="0" w:space="0" w:color="auto"/>
                        <w:left w:val="none" w:sz="0" w:space="0" w:color="auto"/>
                        <w:bottom w:val="none" w:sz="0" w:space="0" w:color="auto"/>
                        <w:right w:val="none" w:sz="0" w:space="0" w:color="auto"/>
                      </w:divBdr>
                      <w:divsChild>
                        <w:div w:id="102829084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031219">
      <w:bodyDiv w:val="1"/>
      <w:marLeft w:val="0"/>
      <w:marRight w:val="0"/>
      <w:marTop w:val="0"/>
      <w:marBottom w:val="0"/>
      <w:divBdr>
        <w:top w:val="none" w:sz="0" w:space="0" w:color="auto"/>
        <w:left w:val="none" w:sz="0" w:space="0" w:color="auto"/>
        <w:bottom w:val="none" w:sz="0" w:space="0" w:color="auto"/>
        <w:right w:val="none" w:sz="0" w:space="0" w:color="auto"/>
      </w:divBdr>
    </w:div>
    <w:div w:id="1326472730">
      <w:bodyDiv w:val="1"/>
      <w:marLeft w:val="0"/>
      <w:marRight w:val="0"/>
      <w:marTop w:val="0"/>
      <w:marBottom w:val="0"/>
      <w:divBdr>
        <w:top w:val="none" w:sz="0" w:space="0" w:color="auto"/>
        <w:left w:val="none" w:sz="0" w:space="0" w:color="auto"/>
        <w:bottom w:val="none" w:sz="0" w:space="0" w:color="auto"/>
        <w:right w:val="none" w:sz="0" w:space="0" w:color="auto"/>
      </w:divBdr>
    </w:div>
    <w:div w:id="1358921093">
      <w:bodyDiv w:val="1"/>
      <w:marLeft w:val="0"/>
      <w:marRight w:val="0"/>
      <w:marTop w:val="0"/>
      <w:marBottom w:val="0"/>
      <w:divBdr>
        <w:top w:val="none" w:sz="0" w:space="0" w:color="auto"/>
        <w:left w:val="none" w:sz="0" w:space="0" w:color="auto"/>
        <w:bottom w:val="none" w:sz="0" w:space="0" w:color="auto"/>
        <w:right w:val="none" w:sz="0" w:space="0" w:color="auto"/>
      </w:divBdr>
    </w:div>
    <w:div w:id="186810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alcitizen.org/fr/content/this-photo-series-will-make-you-see-race-in-a-new/" TargetMode="External"/><Relationship Id="rId3" Type="http://schemas.openxmlformats.org/officeDocument/2006/relationships/settings" Target="settings.xml"/><Relationship Id="rId7" Type="http://schemas.openxmlformats.org/officeDocument/2006/relationships/hyperlink" Target="https://decolonialfutures.net/o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mc.globa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Bavendiek, Ulrike</dc:creator>
  <cp:keywords/>
  <dc:description/>
  <cp:lastModifiedBy>Elkington, Emma</cp:lastModifiedBy>
  <cp:revision>2</cp:revision>
  <cp:lastPrinted>2020-12-11T17:57:00Z</cp:lastPrinted>
  <dcterms:created xsi:type="dcterms:W3CDTF">2023-05-04T16:27:00Z</dcterms:created>
  <dcterms:modified xsi:type="dcterms:W3CDTF">2023-05-04T16:27:00Z</dcterms:modified>
</cp:coreProperties>
</file>