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29AA" w14:textId="77777777" w:rsidR="00721552" w:rsidRDefault="00721552">
      <w:pPr>
        <w:pStyle w:val="BodyText"/>
        <w:spacing w:before="3" w:after="1"/>
        <w:ind w:left="0"/>
        <w:rPr>
          <w:rFonts w:ascii="Times New Roman"/>
          <w:sz w:val="25"/>
        </w:rPr>
      </w:pPr>
    </w:p>
    <w:p w14:paraId="496E24E4" w14:textId="77777777" w:rsidR="00721552" w:rsidRDefault="00086C4E">
      <w:pPr>
        <w:pStyle w:val="BodyText"/>
        <w:ind w:left="2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1241B0" wp14:editId="616EA9D1">
            <wp:extent cx="3185655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6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1945" w14:textId="77777777" w:rsidR="00721552" w:rsidRDefault="00721552">
      <w:pPr>
        <w:pStyle w:val="BodyText"/>
        <w:ind w:left="0"/>
        <w:rPr>
          <w:rFonts w:ascii="Times New Roman"/>
          <w:sz w:val="20"/>
        </w:rPr>
      </w:pPr>
    </w:p>
    <w:p w14:paraId="49F828C2" w14:textId="77777777" w:rsidR="00721552" w:rsidRDefault="00721552">
      <w:pPr>
        <w:pStyle w:val="BodyText"/>
        <w:ind w:left="0"/>
        <w:rPr>
          <w:rFonts w:ascii="Times New Roman"/>
          <w:sz w:val="20"/>
        </w:rPr>
      </w:pPr>
    </w:p>
    <w:p w14:paraId="50407943" w14:textId="77777777" w:rsidR="00721552" w:rsidRDefault="00086C4E">
      <w:pPr>
        <w:pStyle w:val="Heading1"/>
        <w:spacing w:before="198" w:line="259" w:lineRule="auto"/>
        <w:ind w:left="2996" w:hanging="2276"/>
      </w:pPr>
      <w:r>
        <w:rPr>
          <w:u w:val="single"/>
        </w:rPr>
        <w:t>Policy on Plagiarism identified by the UCAS Similarity Detection Service as part of the</w:t>
      </w:r>
      <w:r>
        <w:rPr>
          <w:spacing w:val="-47"/>
        </w:rPr>
        <w:t xml:space="preserve"> </w:t>
      </w:r>
      <w:r>
        <w:rPr>
          <w:u w:val="single"/>
        </w:rPr>
        <w:t>Undergraduate Admissions Process</w:t>
      </w:r>
    </w:p>
    <w:p w14:paraId="5478D090" w14:textId="77777777" w:rsidR="00721552" w:rsidRDefault="00721552">
      <w:pPr>
        <w:pStyle w:val="BodyText"/>
        <w:ind w:left="0"/>
        <w:rPr>
          <w:b/>
        </w:rPr>
      </w:pPr>
    </w:p>
    <w:p w14:paraId="39E5FA42" w14:textId="77777777" w:rsidR="00721552" w:rsidRDefault="00721552">
      <w:pPr>
        <w:pStyle w:val="BodyText"/>
        <w:spacing w:before="11"/>
        <w:ind w:left="0"/>
        <w:rPr>
          <w:b/>
          <w:sz w:val="27"/>
        </w:rPr>
      </w:pPr>
    </w:p>
    <w:p w14:paraId="46BE7691" w14:textId="77777777" w:rsidR="00721552" w:rsidRPr="00086C4E" w:rsidRDefault="00086C4E" w:rsidP="00086C4E">
      <w:pPr>
        <w:pStyle w:val="ListParagraph"/>
        <w:numPr>
          <w:ilvl w:val="0"/>
          <w:numId w:val="5"/>
        </w:numPr>
        <w:tabs>
          <w:tab w:val="left" w:pos="263"/>
        </w:tabs>
        <w:spacing w:before="1"/>
        <w:rPr>
          <w:b/>
        </w:rPr>
      </w:pPr>
      <w:r w:rsidRPr="00086C4E">
        <w:rPr>
          <w:b/>
        </w:rPr>
        <w:t>Introduction</w:t>
      </w:r>
    </w:p>
    <w:p w14:paraId="13D7622F" w14:textId="77777777" w:rsidR="00721552" w:rsidRDefault="00086C4E">
      <w:pPr>
        <w:pStyle w:val="BodyText"/>
        <w:spacing w:before="180"/>
      </w:pP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Liverpool’s</w:t>
      </w:r>
      <w:r>
        <w:rPr>
          <w:spacing w:val="-1"/>
        </w:rPr>
        <w:t xml:space="preserve"> </w:t>
      </w:r>
      <w:r>
        <w:t>admissions 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admit</w:t>
      </w:r>
      <w:r>
        <w:rPr>
          <w:spacing w:val="-3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ability</w:t>
      </w:r>
    </w:p>
    <w:p w14:paraId="48DE5FD1" w14:textId="77777777" w:rsidR="00721552" w:rsidRDefault="00086C4E">
      <w:pPr>
        <w:pStyle w:val="BodyText"/>
        <w:spacing w:before="21"/>
      </w:pPr>
      <w:r>
        <w:t>to benefit from the</w:t>
      </w:r>
      <w:r>
        <w:rPr>
          <w:spacing w:val="-2"/>
        </w:rPr>
        <w:t xml:space="preserve"> </w:t>
      </w:r>
      <w:r>
        <w:t>opportunities</w:t>
      </w:r>
      <w:r>
        <w:rPr>
          <w:spacing w:val="4"/>
        </w:rPr>
        <w:t xml:space="preserve"> </w:t>
      </w:r>
      <w:r>
        <w:t>available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University.  However,</w:t>
      </w:r>
      <w:r>
        <w:rPr>
          <w:spacing w:val="-2"/>
        </w:rPr>
        <w:t xml:space="preserve"> </w:t>
      </w:r>
      <w:r>
        <w:t>the integrity</w:t>
      </w:r>
      <w:r>
        <w:rPr>
          <w:spacing w:val="-4"/>
        </w:rPr>
        <w:t xml:space="preserve"> </w:t>
      </w:r>
      <w:r>
        <w:t>of the</w:t>
      </w:r>
    </w:p>
    <w:p w14:paraId="160EBE5A" w14:textId="77777777" w:rsidR="00721552" w:rsidRDefault="00086C4E">
      <w:pPr>
        <w:pStyle w:val="BodyText"/>
        <w:spacing w:before="21" w:line="259" w:lineRule="auto"/>
        <w:ind w:right="252"/>
      </w:pPr>
      <w:r>
        <w:t>University’s</w:t>
      </w:r>
      <w:r>
        <w:rPr>
          <w:spacing w:val="-4"/>
        </w:rPr>
        <w:t xml:space="preserve"> </w:t>
      </w:r>
      <w:r>
        <w:t>admissions</w:t>
      </w:r>
      <w:r>
        <w:rPr>
          <w:spacing w:val="1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rely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contained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47"/>
        </w:rPr>
        <w:t xml:space="preserve">   </w:t>
      </w:r>
      <w:r>
        <w:t>being</w:t>
      </w:r>
      <w:r>
        <w:rPr>
          <w:spacing w:val="-1"/>
        </w:rPr>
        <w:t xml:space="preserve"> </w:t>
      </w:r>
      <w:r>
        <w:t>the applicant’s</w:t>
      </w:r>
      <w:r>
        <w:rPr>
          <w:spacing w:val="-2"/>
        </w:rPr>
        <w:t xml:space="preserve"> </w:t>
      </w:r>
      <w:r>
        <w:t>own work.</w:t>
      </w:r>
    </w:p>
    <w:p w14:paraId="4EA94BFA" w14:textId="77777777" w:rsidR="00721552" w:rsidRDefault="00086C4E">
      <w:pPr>
        <w:pStyle w:val="BodyText"/>
        <w:spacing w:before="161" w:line="259" w:lineRule="auto"/>
        <w:ind w:right="252"/>
      </w:pPr>
      <w:r>
        <w:t>It is important for applicants to understand that copying material from other sources without</w:t>
      </w:r>
      <w:r>
        <w:rPr>
          <w:spacing w:val="1"/>
        </w:rPr>
        <w:t xml:space="preserve"> </w:t>
      </w:r>
      <w:r>
        <w:t>appropriate acknowledgement is considered a serious academic offence, and is known as</w:t>
      </w:r>
      <w:r>
        <w:rPr>
          <w:spacing w:val="1"/>
        </w:rPr>
        <w:t xml:space="preserve"> </w:t>
      </w:r>
      <w:r>
        <w:t>plagiarism. If a University student is engaged in plagiarism the University could decide to terminate</w:t>
      </w:r>
      <w:r>
        <w:rPr>
          <w:spacing w:val="-47"/>
        </w:rPr>
        <w:t xml:space="preserve"> </w:t>
      </w:r>
      <w:r>
        <w:t>their studies.</w:t>
      </w:r>
      <w:r>
        <w:rPr>
          <w:spacing w:val="1"/>
        </w:rPr>
        <w:t xml:space="preserve"> </w:t>
      </w:r>
      <w:r>
        <w:t>A full explanation of what is meant by plagiarism and how the University of Liverpool</w:t>
      </w:r>
      <w:r>
        <w:rPr>
          <w:spacing w:val="-47"/>
        </w:rPr>
        <w:t xml:space="preserve"> </w:t>
      </w:r>
      <w:r>
        <w:t xml:space="preserve">deals with it may be found on our website </w:t>
      </w:r>
      <w:hyperlink r:id="rId6">
        <w:r>
          <w:t xml:space="preserve">at: </w:t>
        </w:r>
        <w:r>
          <w:rPr>
            <w:color w:val="0562C1"/>
            <w:u w:val="single" w:color="0562C1"/>
          </w:rPr>
          <w:t>https://www.liverpool.ac.uk/media/livacuk/tqsd/</w:t>
        </w:r>
      </w:hyperlink>
      <w:r>
        <w:rPr>
          <w:color w:val="0562C1"/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code-of-practice-on-assessment/appendix_L_cop_assess.pdf</w:t>
        </w:r>
      </w:hyperlink>
    </w:p>
    <w:p w14:paraId="4FD48206" w14:textId="77777777" w:rsidR="00721552" w:rsidRDefault="00086C4E">
      <w:pPr>
        <w:pStyle w:val="BodyText"/>
        <w:spacing w:before="159" w:line="259" w:lineRule="auto"/>
        <w:ind w:right="252" w:firstLine="50"/>
      </w:pPr>
      <w:r>
        <w:t>The procedures described below are intended as a mechanism to ensure that decisions regarding</w:t>
      </w:r>
      <w:r>
        <w:rPr>
          <w:spacing w:val="-47"/>
        </w:rPr>
        <w:t xml:space="preserve"> </w:t>
      </w:r>
      <w:r>
        <w:t>the admission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applicant where plagiarism</w:t>
      </w:r>
      <w:r>
        <w:rPr>
          <w:spacing w:val="-1"/>
        </w:rPr>
        <w:t xml:space="preserve"> </w:t>
      </w:r>
      <w:r>
        <w:t>is indicated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fairly.</w:t>
      </w:r>
    </w:p>
    <w:p w14:paraId="268CEF9B" w14:textId="77777777" w:rsidR="00721552" w:rsidRDefault="00086C4E">
      <w:pPr>
        <w:pStyle w:val="BodyText"/>
        <w:spacing w:before="159" w:line="259" w:lineRule="auto"/>
        <w:ind w:right="224"/>
        <w:jc w:val="both"/>
      </w:pPr>
      <w:r>
        <w:t>This policy covers the Faculties of Humanities and Social Sciences and Science and Engineering, the</w:t>
      </w:r>
      <w:r>
        <w:rPr>
          <w:spacing w:val="1"/>
        </w:rPr>
        <w:t xml:space="preserve"> </w:t>
      </w:r>
      <w:r>
        <w:t>School of Life Sciences and the School of Psychology. The Schools of Medicine, Dentistry and Health</w:t>
      </w:r>
      <w:r>
        <w:rPr>
          <w:spacing w:val="-47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procedures in</w:t>
      </w:r>
      <w:r>
        <w:rPr>
          <w:spacing w:val="-2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 be found</w:t>
      </w:r>
      <w:r>
        <w:rPr>
          <w:spacing w:val="-1"/>
        </w:rPr>
        <w:t xml:space="preserve"> </w:t>
      </w:r>
      <w:r>
        <w:t>at:</w:t>
      </w:r>
    </w:p>
    <w:p w14:paraId="07D0D578" w14:textId="77777777" w:rsidR="00721552" w:rsidRDefault="00086C4E">
      <w:pPr>
        <w:pStyle w:val="BodyText"/>
        <w:spacing w:before="160"/>
      </w:pPr>
      <w:r>
        <w:t>School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Dentistry:</w:t>
      </w:r>
      <w:r>
        <w:rPr>
          <w:spacing w:val="-8"/>
        </w:rPr>
        <w:t xml:space="preserve"> </w:t>
      </w:r>
      <w:hyperlink r:id="rId8">
        <w:r w:rsidRPr="00086C4E">
          <w:rPr>
            <w:color w:val="0070C0"/>
            <w:u w:val="single" w:color="0562C1"/>
          </w:rPr>
          <w:t>https://www.liverpool.ac.uk/dentistry/undergraduate/</w:t>
        </w:r>
      </w:hyperlink>
    </w:p>
    <w:p w14:paraId="004F1597" w14:textId="68231D43" w:rsidR="00B24F86" w:rsidRPr="00B24F86" w:rsidRDefault="00086C4E" w:rsidP="00B24F86">
      <w:pPr>
        <w:pStyle w:val="BodyText"/>
        <w:spacing w:before="182" w:line="256" w:lineRule="auto"/>
        <w:rPr>
          <w:color w:val="0070C0"/>
        </w:rPr>
      </w:pPr>
      <w:r>
        <w:t xml:space="preserve">School of </w:t>
      </w:r>
      <w:r w:rsidR="00B24F86">
        <w:t>Allied Health Professions and Nursing</w:t>
      </w:r>
      <w:r>
        <w:t xml:space="preserve">: </w:t>
      </w:r>
      <w:hyperlink r:id="rId9" w:history="1">
        <w:r w:rsidR="00B24F86" w:rsidRPr="00C14F11">
          <w:rPr>
            <w:rStyle w:val="Hyperlink"/>
          </w:rPr>
          <w:t>https://www.liverpool.ac.uk/allied-health-professions-and-nursing/study-with-us/</w:t>
        </w:r>
        <w:r w:rsidR="00B24F86" w:rsidRPr="00C14F11">
          <w:rPr>
            <w:rStyle w:val="Hyperlink"/>
          </w:rPr>
          <w:t>admissionsresources/</w:t>
        </w:r>
      </w:hyperlink>
    </w:p>
    <w:p w14:paraId="3DF17984" w14:textId="77777777" w:rsidR="00721552" w:rsidRDefault="00086C4E">
      <w:pPr>
        <w:pStyle w:val="BodyText"/>
        <w:spacing w:before="165" w:line="259" w:lineRule="auto"/>
        <w:ind w:right="2808"/>
      </w:pPr>
      <w:r>
        <w:t xml:space="preserve">School of Medicine: </w:t>
      </w:r>
      <w:hyperlink r:id="rId10" w:history="1">
        <w:r w:rsidRPr="00086C4E">
          <w:rPr>
            <w:rStyle w:val="Hyperlink"/>
            <w:color w:val="0070C0"/>
          </w:rPr>
          <w:t>https://www.liverpool.ac.uk/medicine/study-with-</w:t>
        </w:r>
      </w:hyperlink>
      <w:r w:rsidRPr="00086C4E">
        <w:rPr>
          <w:color w:val="0070C0"/>
          <w:spacing w:val="-47"/>
        </w:rPr>
        <w:t xml:space="preserve"> </w:t>
      </w:r>
      <w:hyperlink r:id="rId11">
        <w:r w:rsidRPr="00086C4E">
          <w:rPr>
            <w:color w:val="0070C0"/>
            <w:u w:val="single" w:color="0562C1"/>
          </w:rPr>
          <w:t>us/undergraduate/admissions-information/</w:t>
        </w:r>
      </w:hyperlink>
    </w:p>
    <w:p w14:paraId="73CF7F90" w14:textId="77777777" w:rsidR="00721552" w:rsidRDefault="00721552">
      <w:pPr>
        <w:pStyle w:val="BodyText"/>
        <w:ind w:left="0"/>
      </w:pPr>
    </w:p>
    <w:p w14:paraId="7A5DA381" w14:textId="77777777" w:rsidR="00721552" w:rsidRDefault="00721552">
      <w:pPr>
        <w:pStyle w:val="BodyText"/>
        <w:spacing w:before="9"/>
        <w:ind w:left="0"/>
        <w:rPr>
          <w:sz w:val="27"/>
        </w:rPr>
      </w:pPr>
    </w:p>
    <w:p w14:paraId="75569727" w14:textId="77777777" w:rsidR="00721552" w:rsidRDefault="00086C4E" w:rsidP="00086C4E">
      <w:pPr>
        <w:pStyle w:val="Heading1"/>
        <w:numPr>
          <w:ilvl w:val="0"/>
          <w:numId w:val="4"/>
        </w:numPr>
        <w:tabs>
          <w:tab w:val="left" w:pos="263"/>
        </w:tabs>
      </w:pPr>
      <w:r>
        <w:t>Similarity</w:t>
      </w:r>
      <w:r>
        <w:rPr>
          <w:spacing w:val="-1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Service</w:t>
      </w:r>
    </w:p>
    <w:p w14:paraId="15F1A6C9" w14:textId="77777777" w:rsidR="00721552" w:rsidRDefault="00086C4E" w:rsidP="00086C4E">
      <w:pPr>
        <w:pStyle w:val="BodyText"/>
        <w:spacing w:before="184" w:line="259" w:lineRule="auto"/>
        <w:ind w:right="252"/>
      </w:pPr>
      <w:r>
        <w:t>During the admissions cycle the UCAS Similarity Detection Service provides admissions staff with</w:t>
      </w:r>
      <w:r>
        <w:rPr>
          <w:spacing w:val="-47"/>
        </w:rPr>
        <w:t xml:space="preserve"> </w:t>
      </w:r>
      <w:r>
        <w:t>additional information about applicants. All personal statements submitted to UCAS are checked</w:t>
      </w:r>
      <w:r>
        <w:rPr>
          <w:spacing w:val="1"/>
        </w:rPr>
        <w:t xml:space="preserve"> </w:t>
      </w:r>
      <w:r>
        <w:t>against a library of personal statements, and if an applicant’s statement contains phrases or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 identical to</w:t>
      </w:r>
      <w:r>
        <w:rPr>
          <w:spacing w:val="-3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held in</w:t>
      </w:r>
      <w:r>
        <w:rPr>
          <w:spacing w:val="-3"/>
        </w:rPr>
        <w:t xml:space="preserve"> </w:t>
      </w:r>
      <w:r>
        <w:t>UCAS’s student records, UCAS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each</w:t>
      </w:r>
    </w:p>
    <w:p w14:paraId="72982AFC" w14:textId="77777777" w:rsidR="00721552" w:rsidRDefault="00086C4E" w:rsidP="00086C4E">
      <w:pPr>
        <w:pStyle w:val="BodyText"/>
        <w:spacing w:line="259" w:lineRule="auto"/>
        <w:sectPr w:rsidR="00721552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  <w:r>
        <w:t>institution the applicant has applied to and contact the student directly to alert all parties to the fact</w:t>
      </w:r>
      <w:r>
        <w:rPr>
          <w:spacing w:val="-4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potential plagiarism</w:t>
      </w:r>
      <w:r>
        <w:rPr>
          <w:spacing w:val="-1"/>
        </w:rPr>
        <w:t xml:space="preserve"> </w:t>
      </w:r>
      <w:r>
        <w:t>has been identified.</w:t>
      </w:r>
    </w:p>
    <w:p w14:paraId="52B5E7B4" w14:textId="77777777" w:rsidR="00721552" w:rsidRDefault="00086C4E" w:rsidP="00086C4E">
      <w:pPr>
        <w:pStyle w:val="BodyText"/>
        <w:spacing w:before="41"/>
      </w:pPr>
      <w:r>
        <w:lastRenderedPageBreak/>
        <w:t>The</w:t>
      </w:r>
      <w:r>
        <w:rPr>
          <w:spacing w:val="-2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from UCAS</w:t>
      </w:r>
      <w:r>
        <w:rPr>
          <w:spacing w:val="-3"/>
        </w:rPr>
        <w:t xml:space="preserve"> </w:t>
      </w:r>
      <w:r>
        <w:t>to institutions</w:t>
      </w:r>
      <w:r>
        <w:rPr>
          <w:spacing w:val="-4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‘similarity score’ and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link to</w:t>
      </w:r>
      <w:r>
        <w:rPr>
          <w:spacing w:val="-1"/>
        </w:rPr>
        <w:t xml:space="preserve"> </w:t>
      </w:r>
      <w:r>
        <w:t>the</w:t>
      </w:r>
    </w:p>
    <w:p w14:paraId="2786BC6F" w14:textId="77777777" w:rsidR="00721552" w:rsidRDefault="00086C4E">
      <w:pPr>
        <w:pStyle w:val="BodyText"/>
        <w:spacing w:before="22"/>
      </w:pPr>
      <w:r>
        <w:t>transcript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personal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highlighted.</w:t>
      </w:r>
    </w:p>
    <w:p w14:paraId="76F7B235" w14:textId="77777777" w:rsidR="00721552" w:rsidRDefault="00721552">
      <w:pPr>
        <w:pStyle w:val="BodyText"/>
        <w:ind w:left="0"/>
      </w:pPr>
    </w:p>
    <w:p w14:paraId="177C8AD3" w14:textId="77777777" w:rsidR="00721552" w:rsidRDefault="00721552">
      <w:pPr>
        <w:pStyle w:val="BodyText"/>
        <w:spacing w:before="9"/>
        <w:ind w:left="0"/>
        <w:rPr>
          <w:sz w:val="29"/>
        </w:rPr>
      </w:pPr>
    </w:p>
    <w:p w14:paraId="1FE685F7" w14:textId="77777777" w:rsidR="00721552" w:rsidRDefault="00086C4E" w:rsidP="00086C4E">
      <w:pPr>
        <w:pStyle w:val="Heading1"/>
        <w:numPr>
          <w:ilvl w:val="0"/>
          <w:numId w:val="3"/>
        </w:numPr>
        <w:tabs>
          <w:tab w:val="left" w:pos="263"/>
        </w:tabs>
      </w:pPr>
      <w:r>
        <w:t>Procedure</w:t>
      </w:r>
    </w:p>
    <w:p w14:paraId="69AE08E1" w14:textId="77777777" w:rsidR="00721552" w:rsidRDefault="00086C4E">
      <w:pPr>
        <w:pStyle w:val="BodyText"/>
        <w:spacing w:before="180" w:line="259" w:lineRule="auto"/>
        <w:ind w:right="215"/>
      </w:pPr>
      <w:r>
        <w:t>If UCAS notifies us of potential plagiarism, the University will email the applicant to invite them to</w:t>
      </w:r>
      <w:r>
        <w:rPr>
          <w:spacing w:val="1"/>
        </w:rPr>
        <w:t xml:space="preserve"> </w:t>
      </w:r>
      <w:r>
        <w:t>provide a new personal statement and to indicate the reason why their application has been picked</w:t>
      </w:r>
      <w:r>
        <w:rPr>
          <w:spacing w:val="-47"/>
        </w:rPr>
        <w:t xml:space="preserve"> </w:t>
      </w:r>
      <w:r>
        <w:t>up by the Similarity Detection Service. The applicant will be given two weeks from the date of the</w:t>
      </w:r>
      <w:r>
        <w:rPr>
          <w:spacing w:val="1"/>
        </w:rPr>
        <w:t xml:space="preserve"> </w:t>
      </w:r>
      <w:r>
        <w:t>email to respond. If we do not receive the reply by that date, we will assume that the applicant has</w:t>
      </w:r>
      <w:r>
        <w:rPr>
          <w:spacing w:val="1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withdraw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 at Liverpool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notify</w:t>
      </w:r>
      <w:r>
        <w:rPr>
          <w:spacing w:val="-2"/>
        </w:rPr>
        <w:t xml:space="preserve"> </w:t>
      </w:r>
      <w:r>
        <w:t>UCAS</w:t>
      </w:r>
      <w:r>
        <w:rPr>
          <w:spacing w:val="-3"/>
        </w:rPr>
        <w:t xml:space="preserve"> </w:t>
      </w:r>
      <w:r>
        <w:t>accordingly.</w:t>
      </w:r>
    </w:p>
    <w:p w14:paraId="549789C3" w14:textId="77777777" w:rsidR="00721552" w:rsidRDefault="00086C4E" w:rsidP="00086C4E">
      <w:pPr>
        <w:pStyle w:val="BodyText"/>
        <w:spacing w:before="158" w:line="259" w:lineRule="auto"/>
        <w:ind w:right="90"/>
      </w:pPr>
      <w:r>
        <w:t>If the applicant declines to provide a new personal statement, the University will regard the</w:t>
      </w:r>
      <w:r>
        <w:rPr>
          <w:spacing w:val="1"/>
        </w:rPr>
        <w:t xml:space="preserve"> </w:t>
      </w:r>
      <w:r>
        <w:t>applicant as having withdrawn their application and will record the appropriate decision at UCAS and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University’s student</w:t>
      </w:r>
      <w:r>
        <w:rPr>
          <w:spacing w:val="-2"/>
        </w:rPr>
        <w:t xml:space="preserve"> </w:t>
      </w:r>
      <w:r>
        <w:t>records database.</w:t>
      </w:r>
    </w:p>
    <w:p w14:paraId="548CD881" w14:textId="77777777" w:rsidR="00721552" w:rsidRDefault="00086C4E">
      <w:pPr>
        <w:pStyle w:val="BodyText"/>
        <w:spacing w:before="160" w:line="259" w:lineRule="auto"/>
        <w:ind w:right="115"/>
      </w:pPr>
      <w:r>
        <w:t>There may be a reason for the similarity in content. For example, the applicant may have copied</w:t>
      </w:r>
      <w:r>
        <w:rPr>
          <w:spacing w:val="1"/>
        </w:rPr>
        <w:t xml:space="preserve"> </w:t>
      </w:r>
      <w:r>
        <w:t>material from templates, websites or reference sources or had help to write the personal statement.</w:t>
      </w:r>
      <w:r>
        <w:rPr>
          <w:spacing w:val="-4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 not have</w:t>
      </w:r>
      <w:r>
        <w:rPr>
          <w:spacing w:val="1"/>
        </w:rPr>
        <w:t xml:space="preserve"> </w:t>
      </w:r>
      <w:proofErr w:type="spellStart"/>
      <w:r>
        <w:t>realised</w:t>
      </w:r>
      <w:proofErr w:type="spellEnd"/>
      <w:r>
        <w:rPr>
          <w:spacing w:val="-3"/>
        </w:rPr>
        <w:t xml:space="preserve"> </w:t>
      </w:r>
      <w:r>
        <w:t>that this</w:t>
      </w:r>
      <w:r>
        <w:rPr>
          <w:spacing w:val="-4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plagiarism.</w:t>
      </w:r>
    </w:p>
    <w:p w14:paraId="3A5A9E76" w14:textId="77777777" w:rsidR="00721552" w:rsidRDefault="00086C4E">
      <w:pPr>
        <w:pStyle w:val="BodyText"/>
        <w:spacing w:before="159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the application</w:t>
      </w:r>
      <w:r>
        <w:rPr>
          <w:spacing w:val="-2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should:</w:t>
      </w:r>
    </w:p>
    <w:p w14:paraId="417DE74A" w14:textId="77777777" w:rsidR="00721552" w:rsidRDefault="00086C4E">
      <w:pPr>
        <w:pStyle w:val="ListParagraph"/>
        <w:numPr>
          <w:ilvl w:val="0"/>
          <w:numId w:val="1"/>
        </w:numPr>
        <w:tabs>
          <w:tab w:val="left" w:pos="331"/>
        </w:tabs>
        <w:spacing w:before="183"/>
      </w:pP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 personal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contains sentences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UCAS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before.</w:t>
      </w:r>
    </w:p>
    <w:p w14:paraId="161ED43B" w14:textId="77777777" w:rsidR="00721552" w:rsidRDefault="00086C4E">
      <w:pPr>
        <w:pStyle w:val="ListParagraph"/>
        <w:numPr>
          <w:ilvl w:val="0"/>
          <w:numId w:val="1"/>
        </w:numPr>
        <w:tabs>
          <w:tab w:val="left" w:pos="329"/>
        </w:tabs>
        <w:spacing w:before="180" w:line="259" w:lineRule="auto"/>
        <w:ind w:left="100" w:right="256" w:firstLine="0"/>
      </w:pPr>
      <w:r>
        <w:t>Provide a new personal statement, which we will consider in place of the one which contains the</w:t>
      </w:r>
      <w:r>
        <w:rPr>
          <w:spacing w:val="-47"/>
        </w:rPr>
        <w:t xml:space="preserve"> </w:t>
      </w:r>
      <w:r>
        <w:t>similar material. The statement must be all the student’s own work. We may also check this new</w:t>
      </w:r>
      <w:r>
        <w:rPr>
          <w:spacing w:val="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plagiarism.</w:t>
      </w:r>
    </w:p>
    <w:p w14:paraId="37C0A6D0" w14:textId="77777777" w:rsidR="00721552" w:rsidRDefault="00086C4E">
      <w:pPr>
        <w:pStyle w:val="BodyText"/>
        <w:spacing w:before="160" w:line="259" w:lineRule="auto"/>
        <w:ind w:right="113"/>
      </w:pPr>
      <w:r>
        <w:t>The University will consider the applicant’s response carefully and decide whether or not to progress</w:t>
      </w:r>
      <w:r>
        <w:rPr>
          <w:spacing w:val="-47"/>
        </w:rPr>
        <w:t xml:space="preserve"> </w:t>
      </w:r>
      <w:r>
        <w:t>the application.</w:t>
      </w:r>
    </w:p>
    <w:p w14:paraId="74CC490F" w14:textId="77777777" w:rsidR="00721552" w:rsidRDefault="00086C4E">
      <w:pPr>
        <w:pStyle w:val="BodyText"/>
        <w:spacing w:before="159" w:line="259" w:lineRule="auto"/>
        <w:ind w:right="532"/>
      </w:pPr>
      <w:r>
        <w:t>If an applicant has already been made an offer, the University will decide whether that offer will</w:t>
      </w:r>
      <w:r>
        <w:rPr>
          <w:spacing w:val="-47"/>
        </w:rPr>
        <w:t xml:space="preserve"> </w:t>
      </w:r>
      <w:r>
        <w:t>stand.</w:t>
      </w:r>
      <w:r>
        <w:rPr>
          <w:spacing w:val="1"/>
        </w:rPr>
        <w:t xml:space="preserve"> </w:t>
      </w:r>
      <w:r>
        <w:t xml:space="preserve">If the application is for a professional </w:t>
      </w:r>
      <w:proofErr w:type="spellStart"/>
      <w:r>
        <w:t>programme</w:t>
      </w:r>
      <w:proofErr w:type="spellEnd"/>
      <w:r>
        <w:t xml:space="preserve"> (for example Engineering, Law or</w:t>
      </w:r>
      <w:r>
        <w:rPr>
          <w:spacing w:val="1"/>
        </w:rPr>
        <w:t xml:space="preserve"> </w:t>
      </w:r>
      <w:r>
        <w:t>Accounting and Finance) we will also consider the response in terms of required standards of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conduct.</w:t>
      </w:r>
    </w:p>
    <w:p w14:paraId="5C1BB9EF" w14:textId="77777777" w:rsidR="00721552" w:rsidRDefault="00721552">
      <w:pPr>
        <w:pStyle w:val="BodyText"/>
        <w:ind w:left="0"/>
      </w:pPr>
    </w:p>
    <w:p w14:paraId="2EB8FED6" w14:textId="77777777" w:rsidR="00721552" w:rsidRDefault="00721552">
      <w:pPr>
        <w:pStyle w:val="BodyText"/>
        <w:spacing w:before="11"/>
        <w:ind w:left="0"/>
        <w:rPr>
          <w:sz w:val="27"/>
        </w:rPr>
      </w:pPr>
    </w:p>
    <w:p w14:paraId="0A1518A2" w14:textId="77777777" w:rsidR="00721552" w:rsidRDefault="00086C4E">
      <w:pPr>
        <w:pStyle w:val="Heading1"/>
        <w:numPr>
          <w:ilvl w:val="0"/>
          <w:numId w:val="2"/>
        </w:numPr>
        <w:tabs>
          <w:tab w:val="left" w:pos="264"/>
        </w:tabs>
        <w:ind w:hanging="164"/>
      </w:pPr>
      <w:r>
        <w:t>Recording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Plagiarism</w:t>
      </w:r>
    </w:p>
    <w:p w14:paraId="665EBDDD" w14:textId="77777777" w:rsidR="00721552" w:rsidRDefault="00086C4E">
      <w:pPr>
        <w:pStyle w:val="BodyText"/>
        <w:spacing w:before="182"/>
      </w:pPr>
      <w:r>
        <w:t>All</w:t>
      </w:r>
      <w:r>
        <w:rPr>
          <w:spacing w:val="-2"/>
        </w:rPr>
        <w:t xml:space="preserve"> </w:t>
      </w:r>
      <w:r>
        <w:t>correspondence 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plagiarism 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Admissions</w:t>
      </w:r>
      <w:r>
        <w:rPr>
          <w:spacing w:val="-1"/>
        </w:rPr>
        <w:t xml:space="preserve"> </w:t>
      </w:r>
      <w:r>
        <w:t>Team and</w:t>
      </w:r>
    </w:p>
    <w:p w14:paraId="5BA6BE45" w14:textId="77777777" w:rsidR="00721552" w:rsidRDefault="00086C4E">
      <w:pPr>
        <w:pStyle w:val="BodyText"/>
        <w:spacing w:before="22"/>
      </w:pP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applicant’s</w:t>
      </w:r>
      <w:r>
        <w:rPr>
          <w:spacing w:val="-2"/>
        </w:rPr>
        <w:t xml:space="preserve"> </w:t>
      </w:r>
      <w:r>
        <w:t>electronic record.</w:t>
      </w:r>
    </w:p>
    <w:p w14:paraId="26DE47FE" w14:textId="77777777" w:rsidR="00721552" w:rsidRDefault="00086C4E">
      <w:pPr>
        <w:pStyle w:val="Heading1"/>
        <w:numPr>
          <w:ilvl w:val="0"/>
          <w:numId w:val="2"/>
        </w:numPr>
        <w:tabs>
          <w:tab w:val="left" w:pos="263"/>
        </w:tabs>
        <w:spacing w:before="181"/>
      </w:pPr>
      <w:r>
        <w:t>Appeals</w:t>
      </w:r>
    </w:p>
    <w:p w14:paraId="387C9678" w14:textId="77777777" w:rsidR="00721552" w:rsidRDefault="00086C4E">
      <w:pPr>
        <w:pStyle w:val="BodyText"/>
        <w:spacing w:before="180" w:line="259" w:lineRule="auto"/>
        <w:ind w:right="175"/>
      </w:pPr>
      <w:r>
        <w:t>Appeals about admissions decisions under these procedures will be dealt with on an individual basis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 concerned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Appeals and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Policy.</w:t>
      </w:r>
    </w:p>
    <w:p w14:paraId="1EA5401B" w14:textId="77777777" w:rsidR="00721552" w:rsidRDefault="00086C4E">
      <w:pPr>
        <w:pStyle w:val="BodyText"/>
        <w:spacing w:before="1" w:line="259" w:lineRule="auto"/>
        <w:ind w:right="220"/>
      </w:pPr>
      <w:r>
        <w:t>Any appeal should be forwarded as soon as reasonably practicable to the Associate Director,</w:t>
      </w:r>
      <w:r>
        <w:rPr>
          <w:spacing w:val="1"/>
        </w:rPr>
        <w:t xml:space="preserve"> </w:t>
      </w:r>
      <w:r>
        <w:t>Admissions in Student Recruitment, Admissions and Widening Participation (SRAWP) and should be</w:t>
      </w:r>
      <w:r>
        <w:rPr>
          <w:spacing w:val="-47"/>
        </w:rPr>
        <w:t xml:space="preserve"> </w:t>
      </w:r>
      <w:r>
        <w:t>made in writing. Applicants should normally make an appeal within one month of receiving the</w:t>
      </w:r>
      <w:r>
        <w:rPr>
          <w:spacing w:val="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 application.</w:t>
      </w:r>
    </w:p>
    <w:p w14:paraId="4498FC5D" w14:textId="77777777" w:rsidR="00721552" w:rsidRDefault="00086C4E">
      <w:pPr>
        <w:pStyle w:val="BodyText"/>
        <w:spacing w:before="160"/>
      </w:pPr>
      <w:r>
        <w:t>The</w:t>
      </w:r>
      <w:r>
        <w:rPr>
          <w:spacing w:val="-1"/>
        </w:rPr>
        <w:t xml:space="preserve"> </w:t>
      </w:r>
      <w:r>
        <w:t>University’s</w:t>
      </w:r>
      <w:r>
        <w:rPr>
          <w:spacing w:val="-1"/>
        </w:rPr>
        <w:t xml:space="preserve"> </w:t>
      </w:r>
      <w:r>
        <w:t>Admissions Appeals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invoked</w:t>
      </w:r>
      <w:r>
        <w:rPr>
          <w:spacing w:val="-5"/>
        </w:rPr>
        <w:t xml:space="preserve"> </w:t>
      </w:r>
      <w:r>
        <w:t>if the</w:t>
      </w:r>
      <w:r>
        <w:rPr>
          <w:spacing w:val="-5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that</w:t>
      </w:r>
    </w:p>
    <w:p w14:paraId="3C164A3C" w14:textId="77777777" w:rsidR="00721552" w:rsidRDefault="00086C4E">
      <w:pPr>
        <w:pStyle w:val="BodyText"/>
        <w:spacing w:before="19"/>
      </w:pPr>
      <w:r>
        <w:t>a</w:t>
      </w:r>
      <w:r>
        <w:rPr>
          <w:spacing w:val="-1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error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made,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disputes</w:t>
      </w:r>
      <w:r>
        <w:rPr>
          <w:spacing w:val="-2"/>
        </w:rPr>
        <w:t xml:space="preserve"> </w:t>
      </w:r>
      <w:r>
        <w:t>the University’s</w:t>
      </w:r>
    </w:p>
    <w:p w14:paraId="3E2AC074" w14:textId="77777777" w:rsidR="00721552" w:rsidRDefault="00721552">
      <w:pPr>
        <w:sectPr w:rsidR="00721552">
          <w:pgSz w:w="11910" w:h="16840"/>
          <w:pgMar w:top="1380" w:right="1340" w:bottom="280" w:left="1340" w:header="720" w:footer="720" w:gutter="0"/>
          <w:cols w:space="720"/>
        </w:sectPr>
      </w:pPr>
    </w:p>
    <w:p w14:paraId="0926081F" w14:textId="77777777" w:rsidR="00721552" w:rsidRDefault="00086C4E">
      <w:pPr>
        <w:pStyle w:val="BodyText"/>
        <w:spacing w:before="41" w:line="259" w:lineRule="auto"/>
        <w:ind w:right="434"/>
        <w:jc w:val="both"/>
      </w:pPr>
      <w:r>
        <w:lastRenderedPageBreak/>
        <w:t>judgement in arriving at a decision to admit the applicant. Where it appears after investigation of</w:t>
      </w:r>
      <w:r>
        <w:rPr>
          <w:spacing w:val="-47"/>
        </w:rPr>
        <w:t xml:space="preserve"> </w:t>
      </w:r>
      <w:r>
        <w:t>the appeal that a procedural error has occurred, consideration will be given to what steps (if any)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taken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reconsider the</w:t>
      </w:r>
      <w:r>
        <w:rPr>
          <w:spacing w:val="-2"/>
        </w:rPr>
        <w:t xml:space="preserve"> </w:t>
      </w:r>
      <w:r>
        <w:t>matter.</w:t>
      </w:r>
    </w:p>
    <w:p w14:paraId="131248E8" w14:textId="77777777" w:rsidR="00721552" w:rsidRDefault="00086C4E">
      <w:pPr>
        <w:pStyle w:val="BodyText"/>
        <w:spacing w:before="160"/>
      </w:pPr>
      <w:r>
        <w:t>The</w:t>
      </w:r>
      <w:r>
        <w:rPr>
          <w:spacing w:val="-2"/>
        </w:rPr>
        <w:t xml:space="preserve"> </w:t>
      </w:r>
      <w:r>
        <w:t>University’s</w:t>
      </w:r>
      <w:r>
        <w:rPr>
          <w:spacing w:val="-1"/>
        </w:rPr>
        <w:t xml:space="preserve"> </w:t>
      </w:r>
      <w:r>
        <w:t>Admissions</w:t>
      </w:r>
      <w:r>
        <w:rPr>
          <w:spacing w:val="-1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at:</w:t>
      </w:r>
    </w:p>
    <w:p w14:paraId="3F83B63C" w14:textId="77777777" w:rsidR="00721552" w:rsidRDefault="00000000">
      <w:pPr>
        <w:pStyle w:val="BodyText"/>
        <w:spacing w:before="21"/>
      </w:pPr>
      <w:hyperlink r:id="rId12">
        <w:r w:rsidR="00086C4E">
          <w:rPr>
            <w:color w:val="0562C1"/>
            <w:u w:val="single" w:color="0562C1"/>
          </w:rPr>
          <w:t>https://www.liverpool.ac.uk/study/undergraduate/applying/admissions-policy/</w:t>
        </w:r>
      </w:hyperlink>
    </w:p>
    <w:p w14:paraId="3AF3005A" w14:textId="77777777" w:rsidR="00721552" w:rsidRDefault="00721552">
      <w:pPr>
        <w:pStyle w:val="BodyText"/>
        <w:ind w:left="0"/>
        <w:rPr>
          <w:sz w:val="20"/>
        </w:rPr>
      </w:pPr>
    </w:p>
    <w:p w14:paraId="17614D65" w14:textId="77777777" w:rsidR="00721552" w:rsidRDefault="00721552">
      <w:pPr>
        <w:pStyle w:val="BodyText"/>
        <w:spacing w:before="2"/>
        <w:ind w:left="0"/>
        <w:rPr>
          <w:sz w:val="27"/>
        </w:rPr>
      </w:pPr>
    </w:p>
    <w:p w14:paraId="0AE2E739" w14:textId="77777777" w:rsidR="00721552" w:rsidRDefault="00086C4E">
      <w:pPr>
        <w:pStyle w:val="Heading1"/>
        <w:numPr>
          <w:ilvl w:val="0"/>
          <w:numId w:val="2"/>
        </w:numPr>
        <w:tabs>
          <w:tab w:val="left" w:pos="263"/>
        </w:tabs>
        <w:spacing w:before="56"/>
      </w:pP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Plagiarism</w:t>
      </w:r>
      <w:r>
        <w:rPr>
          <w:spacing w:val="-3"/>
        </w:rPr>
        <w:t xml:space="preserve"> </w:t>
      </w:r>
      <w:r>
        <w:t>Policy</w:t>
      </w:r>
    </w:p>
    <w:p w14:paraId="3DCD2CC8" w14:textId="77777777" w:rsidR="00721552" w:rsidRDefault="00086C4E">
      <w:pPr>
        <w:pStyle w:val="BodyText"/>
        <w:spacing w:line="450" w:lineRule="atLeast"/>
        <w:ind w:right="3002"/>
      </w:pPr>
      <w:r>
        <w:t>Any queries about the operation of this policy should be directed to:</w:t>
      </w:r>
      <w:r>
        <w:rPr>
          <w:spacing w:val="-47"/>
        </w:rPr>
        <w:t xml:space="preserve"> </w:t>
      </w:r>
      <w:proofErr w:type="spellStart"/>
      <w:r>
        <w:t>Ms</w:t>
      </w:r>
      <w:proofErr w:type="spellEnd"/>
      <w:r>
        <w:t xml:space="preserve"> Judith</w:t>
      </w:r>
      <w:r>
        <w:rPr>
          <w:spacing w:val="-1"/>
        </w:rPr>
        <w:t xml:space="preserve"> </w:t>
      </w:r>
      <w:r>
        <w:t>King</w:t>
      </w:r>
    </w:p>
    <w:p w14:paraId="033BBB8B" w14:textId="77777777" w:rsidR="00721552" w:rsidRDefault="00086C4E">
      <w:pPr>
        <w:pStyle w:val="BodyText"/>
        <w:spacing w:line="268" w:lineRule="exact"/>
      </w:pPr>
      <w:r>
        <w:t>Associate</w:t>
      </w:r>
      <w:r>
        <w:rPr>
          <w:spacing w:val="-3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Admissions</w:t>
      </w:r>
    </w:p>
    <w:p w14:paraId="25967088" w14:textId="77777777" w:rsidR="00721552" w:rsidRDefault="00086C4E">
      <w:pPr>
        <w:pStyle w:val="BodyText"/>
        <w:ind w:right="2805"/>
      </w:pPr>
      <w:r>
        <w:t>Student Recruitment, Admissions and Widening Participation (SRAWP)</w:t>
      </w:r>
      <w:r>
        <w:rPr>
          <w:spacing w:val="-4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Liverpool</w:t>
      </w:r>
    </w:p>
    <w:p w14:paraId="1767CB42" w14:textId="77777777" w:rsidR="00721552" w:rsidRDefault="00086C4E">
      <w:pPr>
        <w:pStyle w:val="BodyText"/>
        <w:ind w:right="7313"/>
      </w:pPr>
      <w:r>
        <w:t>Foundation Building</w:t>
      </w:r>
      <w:r>
        <w:rPr>
          <w:spacing w:val="-47"/>
        </w:rPr>
        <w:t xml:space="preserve"> </w:t>
      </w:r>
      <w:r>
        <w:t>765</w:t>
      </w:r>
      <w:r>
        <w:rPr>
          <w:spacing w:val="-1"/>
        </w:rPr>
        <w:t xml:space="preserve"> </w:t>
      </w:r>
      <w:r>
        <w:t>Brownlow</w:t>
      </w:r>
      <w:r>
        <w:rPr>
          <w:spacing w:val="1"/>
        </w:rPr>
        <w:t xml:space="preserve"> </w:t>
      </w:r>
      <w:r>
        <w:t>Hill</w:t>
      </w:r>
      <w:r>
        <w:rPr>
          <w:spacing w:val="1"/>
        </w:rPr>
        <w:t xml:space="preserve"> </w:t>
      </w:r>
      <w:r>
        <w:t>Liverpool</w:t>
      </w:r>
    </w:p>
    <w:p w14:paraId="03ED4FCA" w14:textId="77777777" w:rsidR="00721552" w:rsidRDefault="00086C4E">
      <w:pPr>
        <w:pStyle w:val="BodyText"/>
        <w:spacing w:before="1"/>
      </w:pPr>
      <w:r>
        <w:t>L69</w:t>
      </w:r>
      <w:r>
        <w:rPr>
          <w:spacing w:val="-1"/>
        </w:rPr>
        <w:t xml:space="preserve"> </w:t>
      </w:r>
      <w:r>
        <w:t>7ZX</w:t>
      </w:r>
    </w:p>
    <w:p w14:paraId="421A9D53" w14:textId="77777777" w:rsidR="00721552" w:rsidRDefault="00086C4E">
      <w:pPr>
        <w:pStyle w:val="BodyText"/>
      </w:pPr>
      <w:r>
        <w:t>Email:</w:t>
      </w:r>
      <w:r>
        <w:rPr>
          <w:spacing w:val="-4"/>
        </w:rPr>
        <w:t xml:space="preserve"> </w:t>
      </w:r>
      <w:hyperlink r:id="rId13">
        <w:r>
          <w:rPr>
            <w:color w:val="0562C1"/>
            <w:u w:val="single" w:color="0562C1"/>
          </w:rPr>
          <w:t>judeking@liverpool.ac.uk</w:t>
        </w:r>
      </w:hyperlink>
    </w:p>
    <w:sectPr w:rsidR="00721552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6760D"/>
    <w:multiLevelType w:val="hybridMultilevel"/>
    <w:tmpl w:val="4F5039DC"/>
    <w:lvl w:ilvl="0" w:tplc="40C88EA8">
      <w:start w:val="1"/>
      <w:numFmt w:val="decimal"/>
      <w:lvlText w:val="%1)"/>
      <w:lvlJc w:val="left"/>
      <w:pPr>
        <w:ind w:left="33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0BA58E8">
      <w:numFmt w:val="bullet"/>
      <w:lvlText w:val="•"/>
      <w:lvlJc w:val="left"/>
      <w:pPr>
        <w:ind w:left="1228" w:hanging="231"/>
      </w:pPr>
      <w:rPr>
        <w:rFonts w:hint="default"/>
        <w:lang w:val="en-US" w:eastAsia="en-US" w:bidi="ar-SA"/>
      </w:rPr>
    </w:lvl>
    <w:lvl w:ilvl="2" w:tplc="1D280ECE">
      <w:numFmt w:val="bullet"/>
      <w:lvlText w:val="•"/>
      <w:lvlJc w:val="left"/>
      <w:pPr>
        <w:ind w:left="2117" w:hanging="231"/>
      </w:pPr>
      <w:rPr>
        <w:rFonts w:hint="default"/>
        <w:lang w:val="en-US" w:eastAsia="en-US" w:bidi="ar-SA"/>
      </w:rPr>
    </w:lvl>
    <w:lvl w:ilvl="3" w:tplc="58008E96">
      <w:numFmt w:val="bullet"/>
      <w:lvlText w:val="•"/>
      <w:lvlJc w:val="left"/>
      <w:pPr>
        <w:ind w:left="3005" w:hanging="231"/>
      </w:pPr>
      <w:rPr>
        <w:rFonts w:hint="default"/>
        <w:lang w:val="en-US" w:eastAsia="en-US" w:bidi="ar-SA"/>
      </w:rPr>
    </w:lvl>
    <w:lvl w:ilvl="4" w:tplc="A882FBEA">
      <w:numFmt w:val="bullet"/>
      <w:lvlText w:val="•"/>
      <w:lvlJc w:val="left"/>
      <w:pPr>
        <w:ind w:left="3894" w:hanging="231"/>
      </w:pPr>
      <w:rPr>
        <w:rFonts w:hint="default"/>
        <w:lang w:val="en-US" w:eastAsia="en-US" w:bidi="ar-SA"/>
      </w:rPr>
    </w:lvl>
    <w:lvl w:ilvl="5" w:tplc="DCF4F71A">
      <w:numFmt w:val="bullet"/>
      <w:lvlText w:val="•"/>
      <w:lvlJc w:val="left"/>
      <w:pPr>
        <w:ind w:left="4783" w:hanging="231"/>
      </w:pPr>
      <w:rPr>
        <w:rFonts w:hint="default"/>
        <w:lang w:val="en-US" w:eastAsia="en-US" w:bidi="ar-SA"/>
      </w:rPr>
    </w:lvl>
    <w:lvl w:ilvl="6" w:tplc="6BF62F4C">
      <w:numFmt w:val="bullet"/>
      <w:lvlText w:val="•"/>
      <w:lvlJc w:val="left"/>
      <w:pPr>
        <w:ind w:left="5671" w:hanging="231"/>
      </w:pPr>
      <w:rPr>
        <w:rFonts w:hint="default"/>
        <w:lang w:val="en-US" w:eastAsia="en-US" w:bidi="ar-SA"/>
      </w:rPr>
    </w:lvl>
    <w:lvl w:ilvl="7" w:tplc="FFE45B8C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8" w:tplc="6D94608E">
      <w:numFmt w:val="bullet"/>
      <w:lvlText w:val="•"/>
      <w:lvlJc w:val="left"/>
      <w:pPr>
        <w:ind w:left="7449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4350105B"/>
    <w:multiLevelType w:val="hybridMultilevel"/>
    <w:tmpl w:val="6166DF8E"/>
    <w:lvl w:ilvl="0" w:tplc="C40A3586">
      <w:start w:val="1"/>
      <w:numFmt w:val="decimal"/>
      <w:lvlText w:val="%1"/>
      <w:lvlJc w:val="left"/>
      <w:pPr>
        <w:ind w:left="263" w:hanging="16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BA0049F2">
      <w:numFmt w:val="bullet"/>
      <w:lvlText w:val="•"/>
      <w:lvlJc w:val="left"/>
      <w:pPr>
        <w:ind w:left="1156" w:hanging="163"/>
      </w:pPr>
      <w:rPr>
        <w:rFonts w:hint="default"/>
        <w:lang w:val="en-US" w:eastAsia="en-US" w:bidi="ar-SA"/>
      </w:rPr>
    </w:lvl>
    <w:lvl w:ilvl="2" w:tplc="183AD8FA">
      <w:numFmt w:val="bullet"/>
      <w:lvlText w:val="•"/>
      <w:lvlJc w:val="left"/>
      <w:pPr>
        <w:ind w:left="2053" w:hanging="163"/>
      </w:pPr>
      <w:rPr>
        <w:rFonts w:hint="default"/>
        <w:lang w:val="en-US" w:eastAsia="en-US" w:bidi="ar-SA"/>
      </w:rPr>
    </w:lvl>
    <w:lvl w:ilvl="3" w:tplc="6A024B5A">
      <w:numFmt w:val="bullet"/>
      <w:lvlText w:val="•"/>
      <w:lvlJc w:val="left"/>
      <w:pPr>
        <w:ind w:left="2949" w:hanging="163"/>
      </w:pPr>
      <w:rPr>
        <w:rFonts w:hint="default"/>
        <w:lang w:val="en-US" w:eastAsia="en-US" w:bidi="ar-SA"/>
      </w:rPr>
    </w:lvl>
    <w:lvl w:ilvl="4" w:tplc="4BF6A116">
      <w:numFmt w:val="bullet"/>
      <w:lvlText w:val="•"/>
      <w:lvlJc w:val="left"/>
      <w:pPr>
        <w:ind w:left="3846" w:hanging="163"/>
      </w:pPr>
      <w:rPr>
        <w:rFonts w:hint="default"/>
        <w:lang w:val="en-US" w:eastAsia="en-US" w:bidi="ar-SA"/>
      </w:rPr>
    </w:lvl>
    <w:lvl w:ilvl="5" w:tplc="39328542">
      <w:numFmt w:val="bullet"/>
      <w:lvlText w:val="•"/>
      <w:lvlJc w:val="left"/>
      <w:pPr>
        <w:ind w:left="4743" w:hanging="163"/>
      </w:pPr>
      <w:rPr>
        <w:rFonts w:hint="default"/>
        <w:lang w:val="en-US" w:eastAsia="en-US" w:bidi="ar-SA"/>
      </w:rPr>
    </w:lvl>
    <w:lvl w:ilvl="6" w:tplc="C1D6AB6A">
      <w:numFmt w:val="bullet"/>
      <w:lvlText w:val="•"/>
      <w:lvlJc w:val="left"/>
      <w:pPr>
        <w:ind w:left="5639" w:hanging="163"/>
      </w:pPr>
      <w:rPr>
        <w:rFonts w:hint="default"/>
        <w:lang w:val="en-US" w:eastAsia="en-US" w:bidi="ar-SA"/>
      </w:rPr>
    </w:lvl>
    <w:lvl w:ilvl="7" w:tplc="82324FA2">
      <w:numFmt w:val="bullet"/>
      <w:lvlText w:val="•"/>
      <w:lvlJc w:val="left"/>
      <w:pPr>
        <w:ind w:left="6536" w:hanging="163"/>
      </w:pPr>
      <w:rPr>
        <w:rFonts w:hint="default"/>
        <w:lang w:val="en-US" w:eastAsia="en-US" w:bidi="ar-SA"/>
      </w:rPr>
    </w:lvl>
    <w:lvl w:ilvl="8" w:tplc="8D8E2434">
      <w:numFmt w:val="bullet"/>
      <w:lvlText w:val="•"/>
      <w:lvlJc w:val="left"/>
      <w:pPr>
        <w:ind w:left="7433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532610A0"/>
    <w:multiLevelType w:val="hybridMultilevel"/>
    <w:tmpl w:val="5AE67F86"/>
    <w:lvl w:ilvl="0" w:tplc="40820C68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E122DB5"/>
    <w:multiLevelType w:val="hybridMultilevel"/>
    <w:tmpl w:val="4E207E88"/>
    <w:lvl w:ilvl="0" w:tplc="BCF45362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EEE78D8"/>
    <w:multiLevelType w:val="hybridMultilevel"/>
    <w:tmpl w:val="C7E8ACA6"/>
    <w:lvl w:ilvl="0" w:tplc="256E6C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98071385">
    <w:abstractNumId w:val="0"/>
  </w:num>
  <w:num w:numId="2" w16cid:durableId="1479952824">
    <w:abstractNumId w:val="1"/>
  </w:num>
  <w:num w:numId="3" w16cid:durableId="53506491">
    <w:abstractNumId w:val="2"/>
  </w:num>
  <w:num w:numId="4" w16cid:durableId="160121781">
    <w:abstractNumId w:val="3"/>
  </w:num>
  <w:num w:numId="5" w16cid:durableId="2040933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52"/>
    <w:rsid w:val="00086C4E"/>
    <w:rsid w:val="00721552"/>
    <w:rsid w:val="00770726"/>
    <w:rsid w:val="00B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EBE6"/>
  <w15:docId w15:val="{ECAC7ED3-A14A-42B3-92BB-13043FD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3" w:hanging="1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263" w:hanging="1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6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dentistry/undergraduate/" TargetMode="External"/><Relationship Id="rId13" Type="http://schemas.openxmlformats.org/officeDocument/2006/relationships/hyperlink" Target="mailto:judeking@liverpo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media/livacuk/tqsd/code-of-practice-on-assessment/appendix_L_cop_assess.pdf" TargetMode="External"/><Relationship Id="rId12" Type="http://schemas.openxmlformats.org/officeDocument/2006/relationships/hyperlink" Target="https://www.liverpool.ac.uk/study/undergraduate/applying/admissions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media/livacuk/tqsd/code-of-practice-on-assessment/appendix_L_cop_assess.pdf" TargetMode="External"/><Relationship Id="rId11" Type="http://schemas.openxmlformats.org/officeDocument/2006/relationships/hyperlink" Target="https://www.liverpool.ac.uk/medicine/study-with-us/undergraduate/admissions-information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liverpool.ac.uk/medicine/study-with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allied-health-professions-and-nursing/study-with-us/admissionsresourc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Jude</dc:creator>
  <cp:lastModifiedBy>Davies, Matthew [md95]</cp:lastModifiedBy>
  <cp:revision>2</cp:revision>
  <dcterms:created xsi:type="dcterms:W3CDTF">2024-11-13T13:38:00Z</dcterms:created>
  <dcterms:modified xsi:type="dcterms:W3CDTF">2024-11-13T13:38:00Z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