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66CA" w:rsidRPr="00D735FB" w:rsidRDefault="005366CA" w:rsidP="005366CA">
      <w:pPr>
        <w:jc w:val="center"/>
        <w:rPr>
          <w:rFonts w:cstheme="minorHAnsi"/>
          <w:b/>
          <w:bCs/>
          <w:lang w:eastAsia="en-GB"/>
        </w:rPr>
      </w:pPr>
      <w:bookmarkStart w:id="0" w:name="_GoBack"/>
      <w:bookmarkEnd w:id="0"/>
      <w:r w:rsidRPr="00D735FB">
        <w:rPr>
          <w:rFonts w:cstheme="minorHAnsi"/>
          <w:b/>
          <w:bCs/>
          <w:lang w:eastAsia="en-GB"/>
        </w:rPr>
        <w:t xml:space="preserve">The Wellcome Trust- University of Liverpool Institutional Translational Partnership </w:t>
      </w:r>
      <w:r w:rsidRPr="00D735FB">
        <w:rPr>
          <w:rFonts w:cstheme="minorHAnsi"/>
          <w:b/>
          <w:lang w:eastAsia="en-GB"/>
        </w:rPr>
        <w:t>(ITPA)</w:t>
      </w:r>
    </w:p>
    <w:p w:rsidR="001E2F96" w:rsidRDefault="005366CA" w:rsidP="005366CA">
      <w:pPr>
        <w:jc w:val="center"/>
        <w:rPr>
          <w:rFonts w:cstheme="minorHAnsi"/>
          <w:b/>
        </w:rPr>
      </w:pPr>
      <w:r w:rsidRPr="00D735FB">
        <w:rPr>
          <w:rFonts w:cstheme="minorHAnsi"/>
          <w:b/>
          <w:bCs/>
          <w:lang w:eastAsia="en-GB"/>
        </w:rPr>
        <w:t xml:space="preserve">Early Career Researcher </w:t>
      </w:r>
      <w:r w:rsidRPr="00D735FB">
        <w:rPr>
          <w:rFonts w:cstheme="minorHAnsi"/>
          <w:b/>
        </w:rPr>
        <w:t>Dragon’s Den Translational Award</w:t>
      </w:r>
      <w:r>
        <w:rPr>
          <w:rFonts w:cstheme="minorHAnsi"/>
          <w:b/>
        </w:rPr>
        <w:t xml:space="preserve"> </w:t>
      </w:r>
    </w:p>
    <w:p w:rsidR="0096675C" w:rsidRDefault="0096675C" w:rsidP="005366CA">
      <w:pPr>
        <w:jc w:val="center"/>
        <w:rPr>
          <w:rFonts w:cstheme="minorHAnsi"/>
          <w:b/>
        </w:rPr>
      </w:pPr>
    </w:p>
    <w:p w:rsidR="001E2F96" w:rsidRDefault="001E2F96" w:rsidP="001E2F96">
      <w:pPr>
        <w:rPr>
          <w:rFonts w:cstheme="minorHAnsi"/>
          <w:b/>
        </w:rPr>
      </w:pPr>
    </w:p>
    <w:p w:rsidR="00225F1C" w:rsidRPr="00FF5F33" w:rsidRDefault="008F419E" w:rsidP="001E2F96">
      <w:pPr>
        <w:rPr>
          <w:rFonts w:cstheme="minorHAnsi"/>
          <w:b/>
        </w:rPr>
      </w:pPr>
      <w:r>
        <w:rPr>
          <w:rFonts w:cstheme="minorHAnsi"/>
          <w:b/>
        </w:rPr>
        <w:t>P</w:t>
      </w:r>
      <w:r w:rsidR="000F2152" w:rsidRPr="00FF5F33">
        <w:rPr>
          <w:rFonts w:cstheme="minorHAnsi"/>
          <w:b/>
        </w:rPr>
        <w:t>urpose</w:t>
      </w:r>
    </w:p>
    <w:p w:rsidR="00FF5F33" w:rsidRPr="00FF5F33" w:rsidRDefault="00FF5F33" w:rsidP="00225F1C">
      <w:r w:rsidRPr="00FF5F33">
        <w:t>HLS will run two initiatives to</w:t>
      </w:r>
      <w:r w:rsidR="000F2152" w:rsidRPr="00FF5F33">
        <w:t xml:space="preserve"> develop translational </w:t>
      </w:r>
      <w:r w:rsidR="00B82F42" w:rsidRPr="00FF5F33">
        <w:t xml:space="preserve">research </w:t>
      </w:r>
      <w:r w:rsidR="0060040F" w:rsidRPr="00FF5F33">
        <w:t xml:space="preserve">interest and capability </w:t>
      </w:r>
      <w:r w:rsidR="000F2152" w:rsidRPr="00FF5F33">
        <w:t xml:space="preserve">in early career </w:t>
      </w:r>
      <w:r w:rsidR="0060040F" w:rsidRPr="00FF5F33">
        <w:t>researchers</w:t>
      </w:r>
      <w:r w:rsidR="000F2152" w:rsidRPr="00FF5F33">
        <w:t>, via</w:t>
      </w:r>
      <w:r w:rsidRPr="00FF5F33">
        <w:t>:</w:t>
      </w:r>
    </w:p>
    <w:p w:rsidR="00FF5F33" w:rsidRPr="00FF5F33" w:rsidRDefault="0047761E" w:rsidP="00FF5F33">
      <w:pPr>
        <w:pStyle w:val="ListParagraph"/>
        <w:numPr>
          <w:ilvl w:val="0"/>
          <w:numId w:val="10"/>
        </w:numPr>
      </w:pPr>
      <w:r>
        <w:t>A</w:t>
      </w:r>
      <w:r w:rsidR="00FF5F33" w:rsidRPr="00FF5F33">
        <w:t>n</w:t>
      </w:r>
      <w:r w:rsidR="000F2152" w:rsidRPr="00FF5F33">
        <w:t xml:space="preserve"> intensive training event</w:t>
      </w:r>
      <w:r w:rsidR="0060040F" w:rsidRPr="00FF5F33">
        <w:t xml:space="preserve"> on </w:t>
      </w:r>
      <w:r w:rsidR="0060040F" w:rsidRPr="00194F02">
        <w:rPr>
          <w:b/>
        </w:rPr>
        <w:t>the fundamentals of translational work</w:t>
      </w:r>
      <w:r w:rsidR="0060040F" w:rsidRPr="00FF5F33">
        <w:t>. Training will be provided by UoL in-house expertise, as well as</w:t>
      </w:r>
      <w:r w:rsidR="000F2152" w:rsidRPr="00FF5F33">
        <w:t xml:space="preserve"> industry</w:t>
      </w:r>
      <w:r w:rsidR="0060040F" w:rsidRPr="00FF5F33">
        <w:t>, NHS</w:t>
      </w:r>
      <w:r w:rsidR="000F2152" w:rsidRPr="00FF5F33">
        <w:t xml:space="preserve"> and </w:t>
      </w:r>
      <w:r w:rsidR="0060040F" w:rsidRPr="00FF5F33">
        <w:t xml:space="preserve">research </w:t>
      </w:r>
      <w:r w:rsidR="000F2152" w:rsidRPr="00FF5F33">
        <w:t>fund</w:t>
      </w:r>
      <w:r w:rsidR="0060040F" w:rsidRPr="00FF5F33">
        <w:t>ing bodies.</w:t>
      </w:r>
    </w:p>
    <w:p w:rsidR="001E2F96" w:rsidRPr="001E2F96" w:rsidRDefault="001B602C" w:rsidP="001E2F96">
      <w:pPr>
        <w:pStyle w:val="ListParagraph"/>
        <w:numPr>
          <w:ilvl w:val="0"/>
          <w:numId w:val="10"/>
        </w:numPr>
        <w:rPr>
          <w:rFonts w:cstheme="minorHAnsi"/>
          <w:b/>
        </w:rPr>
      </w:pPr>
      <w:r w:rsidRPr="00FF5F33">
        <w:t>Additionally</w:t>
      </w:r>
      <w:r w:rsidR="000F2152" w:rsidRPr="00FF5F33">
        <w:t xml:space="preserve">, </w:t>
      </w:r>
      <w:r w:rsidR="0060040F" w:rsidRPr="00FF5F33">
        <w:t xml:space="preserve">participants who have </w:t>
      </w:r>
      <w:r w:rsidR="00FF5F33" w:rsidRPr="00FF5F33">
        <w:t>potentially translatable research which is already underway</w:t>
      </w:r>
      <w:r w:rsidR="000F2152" w:rsidRPr="00FF5F33">
        <w:t xml:space="preserve">, will be able to </w:t>
      </w:r>
      <w:r w:rsidR="000F2152" w:rsidRPr="001E2F96">
        <w:rPr>
          <w:b/>
        </w:rPr>
        <w:t>bid for pump priming funds of £1</w:t>
      </w:r>
      <w:r w:rsidR="00FF5F33" w:rsidRPr="001E2F96">
        <w:rPr>
          <w:b/>
        </w:rPr>
        <w:t>5</w:t>
      </w:r>
      <w:r w:rsidR="000F2152" w:rsidRPr="001E2F96">
        <w:rPr>
          <w:b/>
        </w:rPr>
        <w:t>k</w:t>
      </w:r>
      <w:r w:rsidR="000F2152" w:rsidRPr="00FF5F33">
        <w:t xml:space="preserve"> per project (up to £</w:t>
      </w:r>
      <w:r w:rsidR="00FF5F33" w:rsidRPr="00FF5F33">
        <w:t>6</w:t>
      </w:r>
      <w:r w:rsidR="000F2152" w:rsidRPr="00FF5F33">
        <w:t xml:space="preserve">0k available for all projects). </w:t>
      </w:r>
      <w:bookmarkStart w:id="1" w:name="_Hlk86758099"/>
      <w:r w:rsidR="001E2F96">
        <w:t xml:space="preserve">This is the </w:t>
      </w:r>
      <w:r w:rsidR="001E2F96" w:rsidRPr="001E2F96">
        <w:rPr>
          <w:rFonts w:cstheme="minorHAnsi"/>
          <w:b/>
          <w:bCs/>
        </w:rPr>
        <w:t xml:space="preserve">Early Career Researcher </w:t>
      </w:r>
      <w:r w:rsidR="001E2F96" w:rsidRPr="001E2F96">
        <w:rPr>
          <w:rFonts w:cstheme="minorHAnsi"/>
          <w:b/>
        </w:rPr>
        <w:t>Dragon’s Den Translational Award</w:t>
      </w:r>
      <w:r w:rsidR="001E2F96">
        <w:rPr>
          <w:rFonts w:cstheme="minorHAnsi"/>
          <w:b/>
        </w:rPr>
        <w:t>.</w:t>
      </w:r>
      <w:r w:rsidR="001E2F96" w:rsidRPr="001E2F96">
        <w:rPr>
          <w:rFonts w:cstheme="minorHAnsi"/>
          <w:b/>
        </w:rPr>
        <w:t xml:space="preserve"> </w:t>
      </w:r>
      <w:bookmarkEnd w:id="1"/>
    </w:p>
    <w:p w:rsidR="001F6124" w:rsidRPr="001F6124" w:rsidRDefault="001F6124" w:rsidP="001E2F96">
      <w:pPr>
        <w:pStyle w:val="ListParagraph"/>
      </w:pPr>
    </w:p>
    <w:p w:rsidR="0081552D" w:rsidRDefault="0057370A" w:rsidP="0081552D">
      <w:pPr>
        <w:spacing w:after="0"/>
      </w:pPr>
      <w:r w:rsidRPr="0069308E">
        <w:rPr>
          <w:b/>
          <w:bCs/>
        </w:rPr>
        <w:t>Format</w:t>
      </w:r>
    </w:p>
    <w:p w:rsidR="008F419E" w:rsidRPr="00323BAB" w:rsidRDefault="00D05EB1" w:rsidP="0081552D">
      <w:pPr>
        <w:spacing w:after="0"/>
      </w:pPr>
      <w:r w:rsidRPr="00323BAB">
        <w:t xml:space="preserve">Training </w:t>
      </w:r>
      <w:r w:rsidR="000B0E84">
        <w:t xml:space="preserve">in </w:t>
      </w:r>
      <w:r w:rsidR="0081552D" w:rsidRPr="00323BAB">
        <w:rPr>
          <w:rFonts w:eastAsia="Times New Roman"/>
        </w:rPr>
        <w:t>w/c 13 December</w:t>
      </w:r>
      <w:r w:rsidR="00A56CB5" w:rsidRPr="00323BAB">
        <w:t xml:space="preserve">: </w:t>
      </w:r>
    </w:p>
    <w:p w:rsidR="008F419E" w:rsidRDefault="008F419E" w:rsidP="00C6103D">
      <w:pPr>
        <w:pStyle w:val="ListParagraph"/>
        <w:numPr>
          <w:ilvl w:val="0"/>
          <w:numId w:val="14"/>
        </w:numPr>
        <w:spacing w:before="240"/>
        <w:rPr>
          <w:rFonts w:eastAsia="Times New Roman"/>
        </w:rPr>
      </w:pPr>
      <w:r w:rsidRPr="00323BAB">
        <w:t>I</w:t>
      </w:r>
      <w:r w:rsidR="00225F1C" w:rsidRPr="00323BAB">
        <w:t xml:space="preserve">ntensive training </w:t>
      </w:r>
      <w:r w:rsidR="000121BA" w:rsidRPr="00323BAB">
        <w:t>over</w:t>
      </w:r>
      <w:r w:rsidR="00A56CB5">
        <w:t xml:space="preserve"> three days</w:t>
      </w:r>
      <w:r w:rsidR="001E2F96">
        <w:t xml:space="preserve"> 13 to 15 December 2021</w:t>
      </w:r>
      <w:r w:rsidR="002D5CE4">
        <w:t>.</w:t>
      </w:r>
      <w:r w:rsidR="002D5CE4" w:rsidRPr="008F419E">
        <w:rPr>
          <w:rFonts w:eastAsia="Times New Roman"/>
        </w:rPr>
        <w:t xml:space="preserve"> Each session will be roughly 1hr to 1.5hours per session</w:t>
      </w:r>
      <w:r w:rsidRPr="008F419E">
        <w:rPr>
          <w:rFonts w:eastAsia="Times New Roman"/>
        </w:rPr>
        <w:t>, four</w:t>
      </w:r>
      <w:r w:rsidR="002D5CE4" w:rsidRPr="008F419E">
        <w:rPr>
          <w:rFonts w:eastAsia="Times New Roman"/>
        </w:rPr>
        <w:t xml:space="preserve"> sessions a day over </w:t>
      </w:r>
      <w:r w:rsidRPr="008F419E">
        <w:rPr>
          <w:rFonts w:eastAsia="Times New Roman"/>
        </w:rPr>
        <w:t xml:space="preserve">three </w:t>
      </w:r>
      <w:r w:rsidR="002D5CE4" w:rsidRPr="008F419E">
        <w:rPr>
          <w:rFonts w:eastAsia="Times New Roman"/>
        </w:rPr>
        <w:t>days</w:t>
      </w:r>
      <w:r w:rsidRPr="008F419E">
        <w:rPr>
          <w:rFonts w:eastAsia="Times New Roman"/>
        </w:rPr>
        <w:t>, between</w:t>
      </w:r>
      <w:r w:rsidR="002D5CE4" w:rsidRPr="008F419E">
        <w:rPr>
          <w:rFonts w:eastAsia="Times New Roman"/>
        </w:rPr>
        <w:t xml:space="preserve"> 10am-3pm</w:t>
      </w:r>
      <w:r>
        <w:rPr>
          <w:rFonts w:eastAsia="Times New Roman"/>
        </w:rPr>
        <w:t>.</w:t>
      </w:r>
    </w:p>
    <w:p w:rsidR="008F419E" w:rsidRPr="001E2F96" w:rsidRDefault="008F419E" w:rsidP="001E2F96">
      <w:pPr>
        <w:pStyle w:val="ListParagraph"/>
        <w:numPr>
          <w:ilvl w:val="0"/>
          <w:numId w:val="10"/>
        </w:numPr>
        <w:rPr>
          <w:rFonts w:cstheme="minorHAnsi"/>
          <w:b/>
        </w:rPr>
      </w:pPr>
      <w:r>
        <w:rPr>
          <w:rFonts w:eastAsia="Times New Roman"/>
        </w:rPr>
        <w:t xml:space="preserve">Additionally, on the </w:t>
      </w:r>
      <w:r w:rsidR="004520A9">
        <w:rPr>
          <w:rFonts w:eastAsia="Times New Roman"/>
        </w:rPr>
        <w:t>final</w:t>
      </w:r>
      <w:r>
        <w:rPr>
          <w:rFonts w:eastAsia="Times New Roman"/>
        </w:rPr>
        <w:t xml:space="preserve"> day, there will be a separate introductory session </w:t>
      </w:r>
      <w:r w:rsidR="001E2F96">
        <w:rPr>
          <w:rFonts w:eastAsia="Times New Roman"/>
        </w:rPr>
        <w:t xml:space="preserve">to the </w:t>
      </w:r>
      <w:r w:rsidR="001E2F96" w:rsidRPr="001E2F96">
        <w:rPr>
          <w:rFonts w:cstheme="minorHAnsi"/>
          <w:b/>
          <w:bCs/>
        </w:rPr>
        <w:t xml:space="preserve">Early Career Researcher </w:t>
      </w:r>
      <w:r w:rsidR="001E2F96" w:rsidRPr="001E2F96">
        <w:rPr>
          <w:rFonts w:cstheme="minorHAnsi"/>
          <w:b/>
        </w:rPr>
        <w:t xml:space="preserve">Dragon’s Den Translational Award </w:t>
      </w:r>
      <w:r w:rsidRPr="001E2F96">
        <w:rPr>
          <w:rFonts w:eastAsia="Times New Roman"/>
        </w:rPr>
        <w:t>for applicants</w:t>
      </w:r>
      <w:r w:rsidR="008033AC" w:rsidRPr="001E2F96">
        <w:rPr>
          <w:rFonts w:eastAsia="Times New Roman"/>
        </w:rPr>
        <w:t xml:space="preserve"> who have a translational research project that they are looking to take to the next stage.</w:t>
      </w:r>
    </w:p>
    <w:p w:rsidR="008F419E" w:rsidRDefault="008F419E" w:rsidP="001E2F96">
      <w:pPr>
        <w:pStyle w:val="ListParagraph"/>
        <w:numPr>
          <w:ilvl w:val="0"/>
          <w:numId w:val="3"/>
        </w:numPr>
        <w:rPr>
          <w:rFonts w:eastAsia="Times New Roman"/>
        </w:rPr>
      </w:pPr>
      <w:r w:rsidRPr="003D6635">
        <w:rPr>
          <w:rFonts w:eastAsia="Times New Roman"/>
        </w:rPr>
        <w:t>Sessions will be</w:t>
      </w:r>
      <w:r w:rsidR="002D5CE4" w:rsidRPr="003D6635">
        <w:rPr>
          <w:rFonts w:eastAsia="Times New Roman"/>
        </w:rPr>
        <w:t xml:space="preserve"> record</w:t>
      </w:r>
      <w:r w:rsidRPr="003D6635">
        <w:rPr>
          <w:rFonts w:eastAsia="Times New Roman"/>
        </w:rPr>
        <w:t>ed with speakers</w:t>
      </w:r>
      <w:r w:rsidR="00552B75" w:rsidRPr="003D6635">
        <w:rPr>
          <w:rFonts w:eastAsia="Times New Roman"/>
        </w:rPr>
        <w:t>’</w:t>
      </w:r>
      <w:r w:rsidRPr="003D6635">
        <w:rPr>
          <w:rFonts w:eastAsia="Times New Roman"/>
        </w:rPr>
        <w:t xml:space="preserve"> permission</w:t>
      </w:r>
      <w:r w:rsidR="000521AB" w:rsidRPr="003D6635">
        <w:rPr>
          <w:rFonts w:eastAsia="Times New Roman"/>
        </w:rPr>
        <w:t xml:space="preserve">. </w:t>
      </w:r>
      <w:r w:rsidR="00B55C5D">
        <w:rPr>
          <w:rFonts w:eastAsia="Times New Roman"/>
        </w:rPr>
        <w:t>Accessing r</w:t>
      </w:r>
      <w:r w:rsidR="000521AB">
        <w:rPr>
          <w:rFonts w:eastAsia="Times New Roman"/>
        </w:rPr>
        <w:t>ecording</w:t>
      </w:r>
      <w:r w:rsidR="00B55C5D">
        <w:rPr>
          <w:rFonts w:eastAsia="Times New Roman"/>
        </w:rPr>
        <w:t>s</w:t>
      </w:r>
      <w:r w:rsidR="000521AB">
        <w:rPr>
          <w:rFonts w:eastAsia="Times New Roman"/>
        </w:rPr>
        <w:t xml:space="preserve"> </w:t>
      </w:r>
      <w:r w:rsidR="00DC10FB">
        <w:rPr>
          <w:rFonts w:eastAsia="Times New Roman"/>
        </w:rPr>
        <w:t>is an</w:t>
      </w:r>
      <w:r w:rsidR="000521AB">
        <w:rPr>
          <w:rFonts w:eastAsia="Times New Roman"/>
        </w:rPr>
        <w:t xml:space="preserve"> alternative for those with clinical commitments</w:t>
      </w:r>
      <w:r w:rsidR="002D5CE4">
        <w:rPr>
          <w:rFonts w:eastAsia="Times New Roman"/>
        </w:rPr>
        <w:t xml:space="preserve">. </w:t>
      </w:r>
    </w:p>
    <w:p w:rsidR="008F419E" w:rsidRDefault="00D05EB1" w:rsidP="00C6103D">
      <w:pPr>
        <w:spacing w:before="240" w:after="0"/>
      </w:pPr>
      <w:r w:rsidRPr="00323BAB">
        <w:t>Application time</w:t>
      </w:r>
      <w:r w:rsidR="0081552D" w:rsidRPr="00323BAB">
        <w:t xml:space="preserve"> </w:t>
      </w:r>
      <w:r w:rsidR="0081552D" w:rsidRPr="00323BAB">
        <w:rPr>
          <w:rFonts w:eastAsia="Times New Roman"/>
        </w:rPr>
        <w:t xml:space="preserve">w/c </w:t>
      </w:r>
      <w:r w:rsidR="00DC10FB">
        <w:rPr>
          <w:rFonts w:eastAsia="Times New Roman"/>
        </w:rPr>
        <w:t>20</w:t>
      </w:r>
      <w:r w:rsidR="0081552D" w:rsidRPr="00323BAB">
        <w:rPr>
          <w:rFonts w:eastAsia="Times New Roman"/>
        </w:rPr>
        <w:t xml:space="preserve"> December</w:t>
      </w:r>
      <w:r w:rsidRPr="00323BAB">
        <w:rPr>
          <w:rFonts w:eastAsia="Times New Roman"/>
        </w:rPr>
        <w:t xml:space="preserve"> to </w:t>
      </w:r>
      <w:r w:rsidR="00DC10FB">
        <w:rPr>
          <w:rFonts w:eastAsia="Times New Roman"/>
        </w:rPr>
        <w:t>Wednesday</w:t>
      </w:r>
      <w:r w:rsidRPr="00323BAB">
        <w:rPr>
          <w:rFonts w:eastAsia="Times New Roman"/>
        </w:rPr>
        <w:t xml:space="preserve"> </w:t>
      </w:r>
      <w:r w:rsidR="00DC10FB">
        <w:rPr>
          <w:rFonts w:eastAsia="Times New Roman"/>
        </w:rPr>
        <w:t>26</w:t>
      </w:r>
      <w:r w:rsidRPr="00323BAB">
        <w:rPr>
          <w:rFonts w:eastAsia="Times New Roman"/>
        </w:rPr>
        <w:t xml:space="preserve"> January</w:t>
      </w:r>
      <w:r w:rsidR="00A56CB5" w:rsidRPr="00323BAB">
        <w:t>:</w:t>
      </w:r>
      <w:r w:rsidR="00A56CB5">
        <w:t xml:space="preserve"> </w:t>
      </w:r>
    </w:p>
    <w:p w:rsidR="00A56CB5" w:rsidRDefault="00DC10FB" w:rsidP="00C6103D">
      <w:pPr>
        <w:pStyle w:val="ListParagraph"/>
        <w:numPr>
          <w:ilvl w:val="0"/>
          <w:numId w:val="15"/>
        </w:numPr>
        <w:spacing w:before="240"/>
      </w:pPr>
      <w:r>
        <w:t>Pump priming</w:t>
      </w:r>
      <w:r w:rsidR="00A56CB5">
        <w:t xml:space="preserve"> applicants complete paper application</w:t>
      </w:r>
      <w:r w:rsidR="008033AC">
        <w:t>.</w:t>
      </w:r>
      <w:r w:rsidR="00A56CB5">
        <w:t xml:space="preserve"> </w:t>
      </w:r>
    </w:p>
    <w:p w:rsidR="0069308E" w:rsidRDefault="00DC10FB" w:rsidP="00C6103D">
      <w:pPr>
        <w:spacing w:before="240" w:after="0"/>
      </w:pPr>
      <w:r>
        <w:t>Funding panel</w:t>
      </w:r>
      <w:r w:rsidR="00D05EB1" w:rsidRPr="00323BAB">
        <w:t xml:space="preserve"> </w:t>
      </w:r>
      <w:r w:rsidR="004520A9">
        <w:rPr>
          <w:rFonts w:eastAsia="Times New Roman"/>
        </w:rPr>
        <w:t>Thursday 3 February 2022</w:t>
      </w:r>
      <w:r w:rsidR="00A56CB5" w:rsidRPr="00323BAB">
        <w:t>:</w:t>
      </w:r>
      <w:r w:rsidR="00A56CB5">
        <w:t xml:space="preserve"> </w:t>
      </w:r>
    </w:p>
    <w:p w:rsidR="00DC10FB" w:rsidRPr="00DC10FB" w:rsidRDefault="00DC10FB" w:rsidP="00DC10FB">
      <w:pPr>
        <w:pStyle w:val="ListParagraph"/>
        <w:numPr>
          <w:ilvl w:val="0"/>
          <w:numId w:val="15"/>
        </w:numPr>
        <w:jc w:val="both"/>
        <w:rPr>
          <w:rFonts w:eastAsia="Calibri" w:cs="Times New Roman"/>
        </w:rPr>
      </w:pPr>
      <w:r w:rsidRPr="00DC10FB">
        <w:rPr>
          <w:rFonts w:eastAsia="Calibri" w:cs="Times New Roman"/>
        </w:rPr>
        <w:t>Shortlisted applicants will be invited to present their project and answer questions to the ‘Dragon’s Den’ style</w:t>
      </w:r>
      <w:r>
        <w:t xml:space="preserve"> panel</w:t>
      </w:r>
      <w:r w:rsidR="008033AC">
        <w:t xml:space="preserve"> (virtual or in-person depending on </w:t>
      </w:r>
      <w:r w:rsidR="003D6635">
        <w:t>availability</w:t>
      </w:r>
      <w:r w:rsidR="008033AC">
        <w:t>)</w:t>
      </w:r>
      <w:r>
        <w:t>.</w:t>
      </w:r>
    </w:p>
    <w:p w:rsidR="00DC10FB" w:rsidRPr="00DC10FB" w:rsidRDefault="00DC10FB" w:rsidP="00DC10FB">
      <w:pPr>
        <w:pStyle w:val="ListParagraph"/>
        <w:jc w:val="both"/>
        <w:rPr>
          <w:rFonts w:eastAsia="Calibri" w:cs="Times New Roman"/>
        </w:rPr>
      </w:pPr>
    </w:p>
    <w:p w:rsidR="00225F1C" w:rsidRDefault="00225F1C" w:rsidP="00225F1C">
      <w:r>
        <w:rPr>
          <w:b/>
          <w:bCs/>
        </w:rPr>
        <w:t>Award of pump priming</w:t>
      </w:r>
    </w:p>
    <w:p w:rsidR="00CF753E" w:rsidRPr="00CF753E" w:rsidRDefault="00225F1C" w:rsidP="0073155D">
      <w:pPr>
        <w:pStyle w:val="ListParagraph"/>
        <w:numPr>
          <w:ilvl w:val="0"/>
          <w:numId w:val="6"/>
        </w:numPr>
        <w:rPr>
          <w:rFonts w:eastAsia="Times New Roman"/>
        </w:rPr>
      </w:pPr>
      <w:r w:rsidRPr="00CF753E">
        <w:rPr>
          <w:rFonts w:eastAsia="Times New Roman"/>
        </w:rPr>
        <w:t>£</w:t>
      </w:r>
      <w:r w:rsidR="00672A1C">
        <w:rPr>
          <w:rFonts w:eastAsia="Times New Roman"/>
        </w:rPr>
        <w:t>60</w:t>
      </w:r>
      <w:r w:rsidR="00125EA4">
        <w:rPr>
          <w:rFonts w:eastAsia="Times New Roman"/>
        </w:rPr>
        <w:t>K</w:t>
      </w:r>
      <w:r w:rsidRPr="00CF753E">
        <w:rPr>
          <w:rFonts w:eastAsia="Times New Roman"/>
        </w:rPr>
        <w:t xml:space="preserve"> </w:t>
      </w:r>
      <w:r w:rsidR="008033AC">
        <w:rPr>
          <w:rFonts w:eastAsia="Times New Roman"/>
        </w:rPr>
        <w:t>of funding is available in total</w:t>
      </w:r>
      <w:r w:rsidR="00672A1C">
        <w:rPr>
          <w:rFonts w:eastAsia="Times New Roman"/>
        </w:rPr>
        <w:t xml:space="preserve">, with a maximum of </w:t>
      </w:r>
      <w:r w:rsidRPr="00CF753E">
        <w:rPr>
          <w:rFonts w:eastAsia="Times New Roman"/>
        </w:rPr>
        <w:t>£1</w:t>
      </w:r>
      <w:r w:rsidR="00125EA4">
        <w:rPr>
          <w:rFonts w:eastAsia="Times New Roman"/>
        </w:rPr>
        <w:t>5</w:t>
      </w:r>
      <w:r w:rsidRPr="00CF753E">
        <w:rPr>
          <w:rFonts w:eastAsia="Times New Roman"/>
        </w:rPr>
        <w:t xml:space="preserve">k </w:t>
      </w:r>
      <w:r w:rsidR="00672A1C">
        <w:rPr>
          <w:rFonts w:eastAsia="Times New Roman"/>
        </w:rPr>
        <w:t>per award</w:t>
      </w:r>
      <w:r w:rsidR="008033AC">
        <w:rPr>
          <w:rFonts w:eastAsia="Times New Roman"/>
        </w:rPr>
        <w:t>, plus up to £1k of consultancy time per award.</w:t>
      </w:r>
    </w:p>
    <w:p w:rsidR="00225F1C" w:rsidRPr="00CF753E" w:rsidRDefault="00672A1C" w:rsidP="0073155D">
      <w:pPr>
        <w:pStyle w:val="ListParagraph"/>
        <w:numPr>
          <w:ilvl w:val="0"/>
          <w:numId w:val="6"/>
        </w:numPr>
        <w:rPr>
          <w:rFonts w:eastAsia="Times New Roman"/>
        </w:rPr>
      </w:pPr>
      <w:r>
        <w:rPr>
          <w:rFonts w:eastAsia="Times New Roman"/>
        </w:rPr>
        <w:t>A</w:t>
      </w:r>
      <w:r w:rsidR="00225F1C" w:rsidRPr="00CF753E">
        <w:rPr>
          <w:rFonts w:eastAsia="Times New Roman"/>
        </w:rPr>
        <w:t>ward duration</w:t>
      </w:r>
      <w:r>
        <w:rPr>
          <w:rFonts w:eastAsia="Times New Roman"/>
        </w:rPr>
        <w:t xml:space="preserve"> is</w:t>
      </w:r>
      <w:r w:rsidR="00225F1C" w:rsidRPr="00CF753E">
        <w:rPr>
          <w:rFonts w:eastAsia="Times New Roman"/>
        </w:rPr>
        <w:t xml:space="preserve"> </w:t>
      </w:r>
      <w:r w:rsidR="00C04355">
        <w:rPr>
          <w:rFonts w:eastAsia="Times New Roman"/>
        </w:rPr>
        <w:t>up to 12 months.</w:t>
      </w:r>
    </w:p>
    <w:p w:rsidR="00672A1C" w:rsidRDefault="00225F1C" w:rsidP="00225F1C">
      <w:pPr>
        <w:pStyle w:val="ListParagraph"/>
        <w:numPr>
          <w:ilvl w:val="0"/>
          <w:numId w:val="6"/>
        </w:numPr>
        <w:rPr>
          <w:rFonts w:eastAsia="Times New Roman"/>
        </w:rPr>
      </w:pPr>
      <w:r>
        <w:rPr>
          <w:rFonts w:eastAsia="Times New Roman"/>
        </w:rPr>
        <w:t xml:space="preserve">Categories of spend: </w:t>
      </w:r>
    </w:p>
    <w:p w:rsidR="00672A1C" w:rsidRDefault="00225F1C" w:rsidP="00672A1C">
      <w:pPr>
        <w:pStyle w:val="ListParagraph"/>
        <w:numPr>
          <w:ilvl w:val="1"/>
          <w:numId w:val="6"/>
        </w:numPr>
        <w:rPr>
          <w:rFonts w:eastAsia="Times New Roman"/>
        </w:rPr>
      </w:pPr>
      <w:r>
        <w:rPr>
          <w:rFonts w:eastAsia="Times New Roman"/>
        </w:rPr>
        <w:t>consumables</w:t>
      </w:r>
    </w:p>
    <w:p w:rsidR="00672A1C" w:rsidRDefault="00225F1C" w:rsidP="00672A1C">
      <w:pPr>
        <w:pStyle w:val="ListParagraph"/>
        <w:numPr>
          <w:ilvl w:val="1"/>
          <w:numId w:val="6"/>
        </w:numPr>
        <w:rPr>
          <w:rFonts w:eastAsia="Times New Roman"/>
        </w:rPr>
      </w:pPr>
      <w:r w:rsidRPr="00672A1C">
        <w:rPr>
          <w:rFonts w:eastAsia="Times New Roman"/>
        </w:rPr>
        <w:t>access to facilities</w:t>
      </w:r>
    </w:p>
    <w:p w:rsidR="00672A1C" w:rsidRDefault="00C04355" w:rsidP="00672A1C">
      <w:pPr>
        <w:pStyle w:val="ListParagraph"/>
        <w:numPr>
          <w:ilvl w:val="1"/>
          <w:numId w:val="6"/>
        </w:numPr>
        <w:rPr>
          <w:rFonts w:eastAsia="Times New Roman"/>
        </w:rPr>
      </w:pPr>
      <w:r w:rsidRPr="00672A1C">
        <w:rPr>
          <w:rFonts w:eastAsia="Times New Roman"/>
        </w:rPr>
        <w:t>travel</w:t>
      </w:r>
    </w:p>
    <w:p w:rsidR="00672A1C" w:rsidRDefault="00C04355" w:rsidP="00672A1C">
      <w:pPr>
        <w:pStyle w:val="ListParagraph"/>
        <w:numPr>
          <w:ilvl w:val="1"/>
          <w:numId w:val="6"/>
        </w:numPr>
        <w:rPr>
          <w:rFonts w:eastAsia="Times New Roman"/>
        </w:rPr>
      </w:pPr>
      <w:r w:rsidRPr="00672A1C">
        <w:rPr>
          <w:rFonts w:eastAsia="Times New Roman"/>
        </w:rPr>
        <w:t>staff time</w:t>
      </w:r>
    </w:p>
    <w:p w:rsidR="00A56CB5" w:rsidRDefault="00672A1C" w:rsidP="00672A1C">
      <w:pPr>
        <w:pStyle w:val="ListParagraph"/>
        <w:numPr>
          <w:ilvl w:val="1"/>
          <w:numId w:val="6"/>
        </w:numPr>
        <w:rPr>
          <w:rFonts w:eastAsia="Times New Roman"/>
        </w:rPr>
      </w:pPr>
      <w:r>
        <w:rPr>
          <w:rFonts w:eastAsia="Times New Roman"/>
        </w:rPr>
        <w:t xml:space="preserve">Access to a consultant (up to </w:t>
      </w:r>
      <w:r w:rsidR="008033AC">
        <w:rPr>
          <w:rFonts w:eastAsia="Times New Roman"/>
        </w:rPr>
        <w:t>£1k</w:t>
      </w:r>
      <w:r w:rsidR="00A56CB5">
        <w:rPr>
          <w:rFonts w:eastAsia="Times New Roman"/>
        </w:rPr>
        <w:t>)</w:t>
      </w:r>
      <w:r w:rsidR="008033AC">
        <w:rPr>
          <w:rFonts w:eastAsia="Times New Roman"/>
        </w:rPr>
        <w:t>. Award holders c</w:t>
      </w:r>
      <w:r w:rsidR="00C04355" w:rsidRPr="00672A1C">
        <w:rPr>
          <w:rFonts w:eastAsia="Times New Roman"/>
        </w:rPr>
        <w:t xml:space="preserve">an identify </w:t>
      </w:r>
      <w:r w:rsidRPr="00672A1C">
        <w:rPr>
          <w:rFonts w:eastAsia="Times New Roman"/>
        </w:rPr>
        <w:t>their own</w:t>
      </w:r>
      <w:r w:rsidR="00C04355" w:rsidRPr="00672A1C">
        <w:rPr>
          <w:rFonts w:eastAsia="Times New Roman"/>
        </w:rPr>
        <w:t xml:space="preserve"> consultants</w:t>
      </w:r>
      <w:r w:rsidR="008033AC">
        <w:rPr>
          <w:rFonts w:eastAsia="Times New Roman"/>
        </w:rPr>
        <w:t xml:space="preserve"> or ask to be paired with someone</w:t>
      </w:r>
      <w:r w:rsidR="00C04355" w:rsidRPr="00672A1C">
        <w:rPr>
          <w:rFonts w:eastAsia="Times New Roman"/>
        </w:rPr>
        <w:t>.</w:t>
      </w:r>
      <w:r w:rsidRPr="00672A1C">
        <w:rPr>
          <w:rFonts w:eastAsia="Times New Roman"/>
        </w:rPr>
        <w:t xml:space="preserve"> </w:t>
      </w:r>
    </w:p>
    <w:p w:rsidR="00A54E52" w:rsidRDefault="00672A1C" w:rsidP="00DE05EC">
      <w:pPr>
        <w:pStyle w:val="ListParagraph"/>
        <w:numPr>
          <w:ilvl w:val="1"/>
          <w:numId w:val="6"/>
        </w:numPr>
        <w:rPr>
          <w:rFonts w:eastAsia="Times New Roman"/>
          <w:i/>
        </w:rPr>
      </w:pPr>
      <w:r w:rsidRPr="00A56CB5">
        <w:rPr>
          <w:rFonts w:eastAsia="Times New Roman"/>
          <w:i/>
        </w:rPr>
        <w:t>Purchase of equipment will not be allowed</w:t>
      </w:r>
    </w:p>
    <w:p w:rsidR="00D735FB" w:rsidRDefault="00D735FB" w:rsidP="00D735FB">
      <w:pPr>
        <w:rPr>
          <w:rFonts w:eastAsia="Times New Roman"/>
          <w:i/>
        </w:rPr>
      </w:pPr>
    </w:p>
    <w:p w:rsidR="001E2F96" w:rsidRDefault="001E2F96" w:rsidP="00D735FB">
      <w:pPr>
        <w:rPr>
          <w:rFonts w:eastAsia="Times New Roman"/>
          <w:i/>
        </w:rPr>
      </w:pPr>
    </w:p>
    <w:tbl>
      <w:tblPr>
        <w:tblW w:w="0" w:type="auto"/>
        <w:tblCellMar>
          <w:left w:w="0" w:type="dxa"/>
          <w:right w:w="0" w:type="dxa"/>
        </w:tblCellMar>
        <w:tblLook w:val="04A0" w:firstRow="1" w:lastRow="0" w:firstColumn="1" w:lastColumn="0" w:noHBand="0" w:noVBand="1"/>
      </w:tblPr>
      <w:tblGrid>
        <w:gridCol w:w="9006"/>
      </w:tblGrid>
      <w:tr w:rsidR="00D735FB" w:rsidTr="00D735FB">
        <w:tc>
          <w:tcPr>
            <w:tcW w:w="9776" w:type="dxa"/>
            <w:tcBorders>
              <w:top w:val="single" w:sz="8" w:space="0" w:color="000000"/>
              <w:left w:val="single" w:sz="8" w:space="0" w:color="000000"/>
              <w:bottom w:val="single" w:sz="8" w:space="0" w:color="000000"/>
              <w:right w:val="single" w:sz="8" w:space="0" w:color="000000"/>
            </w:tcBorders>
            <w:shd w:val="clear" w:color="auto" w:fill="A8D08D"/>
            <w:tcMar>
              <w:top w:w="0" w:type="dxa"/>
              <w:left w:w="108" w:type="dxa"/>
              <w:bottom w:w="0" w:type="dxa"/>
              <w:right w:w="108" w:type="dxa"/>
            </w:tcMar>
            <w:hideMark/>
          </w:tcPr>
          <w:p w:rsidR="00D735FB" w:rsidRPr="00D735FB" w:rsidRDefault="00D735FB">
            <w:pPr>
              <w:jc w:val="both"/>
              <w:rPr>
                <w:rFonts w:cstheme="minorHAnsi"/>
                <w:b/>
                <w:bCs/>
                <w:lang w:eastAsia="en-GB"/>
              </w:rPr>
            </w:pPr>
            <w:r w:rsidRPr="00D735FB">
              <w:rPr>
                <w:rFonts w:cstheme="minorHAnsi"/>
                <w:b/>
                <w:bCs/>
                <w:lang w:eastAsia="en-GB"/>
              </w:rPr>
              <w:t xml:space="preserve">The Wellcome Trust- University of Liverpool Institutional Translational Partnership </w:t>
            </w:r>
            <w:r w:rsidRPr="00D735FB">
              <w:rPr>
                <w:rFonts w:cstheme="minorHAnsi"/>
                <w:b/>
                <w:lang w:eastAsia="en-GB"/>
              </w:rPr>
              <w:t>(ITPA)</w:t>
            </w:r>
          </w:p>
          <w:p w:rsidR="00D735FB" w:rsidRPr="00D735FB" w:rsidRDefault="00D735FB">
            <w:pPr>
              <w:jc w:val="both"/>
              <w:rPr>
                <w:i/>
              </w:rPr>
            </w:pPr>
            <w:r w:rsidRPr="00D735FB">
              <w:rPr>
                <w:rFonts w:cstheme="minorHAnsi"/>
                <w:b/>
                <w:bCs/>
                <w:lang w:eastAsia="en-GB"/>
              </w:rPr>
              <w:t xml:space="preserve">Early Career Researcher </w:t>
            </w:r>
            <w:r w:rsidRPr="00D735FB">
              <w:rPr>
                <w:rFonts w:cstheme="minorHAnsi"/>
                <w:b/>
              </w:rPr>
              <w:t>Dragon’s Den Translational Award</w:t>
            </w:r>
          </w:p>
        </w:tc>
      </w:tr>
      <w:tr w:rsidR="00D735FB" w:rsidTr="00D735FB">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rsidR="00D735FB" w:rsidRPr="00D735FB" w:rsidRDefault="00D735FB">
            <w:pPr>
              <w:jc w:val="both"/>
              <w:textAlignment w:val="baseline"/>
              <w:rPr>
                <w:rFonts w:ascii="Times New Roman" w:hAnsi="Times New Roman" w:cs="Times New Roman"/>
                <w:lang w:eastAsia="en-GB"/>
              </w:rPr>
            </w:pPr>
            <w:r>
              <w:rPr>
                <w:lang w:eastAsia="en-GB"/>
              </w:rPr>
              <w:t xml:space="preserve">The Awards will provide up to £15k per project, for a </w:t>
            </w:r>
            <w:r w:rsidRPr="00D735FB">
              <w:rPr>
                <w:lang w:eastAsia="en-GB"/>
              </w:rPr>
              <w:t>duration of u</w:t>
            </w:r>
            <w:r w:rsidRPr="00D735FB">
              <w:rPr>
                <w:rFonts w:ascii="Times New Roman" w:hAnsi="Times New Roman" w:cs="Times New Roman"/>
                <w:sz w:val="24"/>
                <w:szCs w:val="24"/>
                <w:lang w:eastAsia="en-GB"/>
              </w:rPr>
              <w:t>p</w:t>
            </w:r>
            <w:r w:rsidRPr="00D735FB">
              <w:rPr>
                <w:lang w:eastAsia="en-GB"/>
              </w:rPr>
              <w:t xml:space="preserve"> to one year.</w:t>
            </w:r>
          </w:p>
        </w:tc>
      </w:tr>
      <w:tr w:rsidR="00D735FB" w:rsidTr="00D735FB">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rsidR="00D735FB" w:rsidRDefault="00D735FB">
            <w:pPr>
              <w:jc w:val="both"/>
              <w:textAlignment w:val="baseline"/>
              <w:rPr>
                <w:b/>
                <w:bCs/>
                <w:lang w:eastAsia="en-GB"/>
              </w:rPr>
            </w:pPr>
            <w:r>
              <w:rPr>
                <w:b/>
                <w:bCs/>
                <w:lang w:eastAsia="en-GB"/>
              </w:rPr>
              <w:t>Objective</w:t>
            </w:r>
          </w:p>
          <w:p w:rsidR="004520A9" w:rsidRPr="004520A9" w:rsidRDefault="00D735FB" w:rsidP="00460C0C">
            <w:pPr>
              <w:jc w:val="both"/>
              <w:textAlignment w:val="baseline"/>
              <w:rPr>
                <w:lang w:eastAsia="en-GB"/>
              </w:rPr>
            </w:pPr>
            <w:r>
              <w:rPr>
                <w:lang w:eastAsia="en-GB"/>
              </w:rPr>
              <w:t xml:space="preserve">The Awards provide Early Career Researchers with pump priming funding for </w:t>
            </w:r>
            <w:r>
              <w:rPr>
                <w:b/>
                <w:bCs/>
                <w:lang w:eastAsia="en-GB"/>
              </w:rPr>
              <w:t xml:space="preserve">translational research. </w:t>
            </w:r>
            <w:r>
              <w:rPr>
                <w:lang w:eastAsia="en-GB"/>
              </w:rPr>
              <w:t xml:space="preserve">It </w:t>
            </w:r>
            <w:r w:rsidRPr="00D735FB">
              <w:rPr>
                <w:lang w:eastAsia="en-GB"/>
              </w:rPr>
              <w:t>is intended to provide an opportunity for ECRs (a clinical or non-clinical investigator) to develop new or ongoing areas of research that will progress rapidly towards improved clinical outcomes with line of sight to substantive translational funding. Applications from collaborative multi-disciplinary partnerships are strongly encourage</w:t>
            </w:r>
            <w:r w:rsidR="00460C0C">
              <w:rPr>
                <w:lang w:eastAsia="en-GB"/>
              </w:rPr>
              <w:t>d</w:t>
            </w:r>
            <w:r w:rsidRPr="00D735FB">
              <w:rPr>
                <w:lang w:eastAsia="en-GB"/>
              </w:rPr>
              <w:t>.</w:t>
            </w:r>
          </w:p>
        </w:tc>
      </w:tr>
      <w:tr w:rsidR="00D735FB" w:rsidTr="00D735FB">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rsidR="00D735FB" w:rsidRDefault="00D735FB">
            <w:pPr>
              <w:jc w:val="both"/>
              <w:rPr>
                <w:b/>
                <w:bCs/>
                <w:lang w:eastAsia="en-GB"/>
              </w:rPr>
            </w:pPr>
            <w:r>
              <w:rPr>
                <w:b/>
                <w:bCs/>
                <w:lang w:eastAsia="en-GB"/>
              </w:rPr>
              <w:t>Application process</w:t>
            </w:r>
          </w:p>
          <w:p w:rsidR="00636D99" w:rsidRDefault="00636D99" w:rsidP="00636D99">
            <w:pPr>
              <w:rPr>
                <w:rFonts w:eastAsia="Times New Roman"/>
              </w:rPr>
            </w:pPr>
            <w:r>
              <w:rPr>
                <w:rFonts w:eastAsia="Times New Roman"/>
              </w:rPr>
              <w:t xml:space="preserve">Applicants to register their interest with Rosie Corbin </w:t>
            </w:r>
            <w:hyperlink r:id="rId8" w:history="1">
              <w:r w:rsidRPr="00A30A2F">
                <w:rPr>
                  <w:rStyle w:val="Hyperlink"/>
                  <w:rFonts w:eastAsia="Times New Roman"/>
                </w:rPr>
                <w:t>r.corbin@liverpool.ac.uk</w:t>
              </w:r>
            </w:hyperlink>
            <w:r>
              <w:rPr>
                <w:rFonts w:eastAsia="Times New Roman"/>
              </w:rPr>
              <w:t xml:space="preserve"> by </w:t>
            </w:r>
            <w:r w:rsidRPr="00636D99">
              <w:rPr>
                <w:rFonts w:eastAsia="Times New Roman"/>
                <w:b/>
              </w:rPr>
              <w:t>Wednesday 8</w:t>
            </w:r>
            <w:r>
              <w:rPr>
                <w:rFonts w:eastAsia="Times New Roman"/>
              </w:rPr>
              <w:t xml:space="preserve"> </w:t>
            </w:r>
            <w:r w:rsidRPr="00636D99">
              <w:rPr>
                <w:rFonts w:eastAsia="Times New Roman"/>
                <w:b/>
              </w:rPr>
              <w:t>December 2021</w:t>
            </w:r>
            <w:r>
              <w:rPr>
                <w:rFonts w:eastAsia="Times New Roman"/>
              </w:rPr>
              <w:t xml:space="preserve"> and </w:t>
            </w:r>
            <w:r w:rsidR="003E6656">
              <w:rPr>
                <w:rFonts w:eastAsia="Times New Roman"/>
              </w:rPr>
              <w:t xml:space="preserve">state </w:t>
            </w:r>
            <w:r>
              <w:rPr>
                <w:rFonts w:eastAsia="Times New Roman"/>
              </w:rPr>
              <w:t>the research area of the project.</w:t>
            </w:r>
          </w:p>
          <w:p w:rsidR="00636D99" w:rsidRPr="00DE05EC" w:rsidRDefault="00636D99" w:rsidP="00636D99">
            <w:pPr>
              <w:autoSpaceDE w:val="0"/>
              <w:autoSpaceDN w:val="0"/>
              <w:rPr>
                <w:rFonts w:cstheme="minorHAnsi"/>
                <w:b/>
              </w:rPr>
            </w:pPr>
            <w:r>
              <w:rPr>
                <w:rFonts w:eastAsia="Times New Roman"/>
              </w:rPr>
              <w:t>Applicants should attend the introductory session on “</w:t>
            </w:r>
            <w:r w:rsidRPr="00DE05EC">
              <w:rPr>
                <w:rFonts w:cstheme="minorHAnsi"/>
                <w:b/>
              </w:rPr>
              <w:t xml:space="preserve">ECR </w:t>
            </w:r>
            <w:r w:rsidRPr="00D735FB">
              <w:rPr>
                <w:rFonts w:cstheme="minorHAnsi"/>
                <w:b/>
              </w:rPr>
              <w:t>Dragon’s Den Translational Award</w:t>
            </w:r>
            <w:r>
              <w:rPr>
                <w:rFonts w:cstheme="minorHAnsi"/>
                <w:b/>
              </w:rPr>
              <w:t xml:space="preserve">”, </w:t>
            </w:r>
            <w:r w:rsidR="004E2FBF">
              <w:rPr>
                <w:rFonts w:cstheme="minorHAnsi"/>
                <w:b/>
              </w:rPr>
              <w:t>Wednesday</w:t>
            </w:r>
            <w:r>
              <w:rPr>
                <w:rFonts w:cstheme="minorHAnsi"/>
                <w:b/>
              </w:rPr>
              <w:t xml:space="preserve"> 1</w:t>
            </w:r>
            <w:r w:rsidR="004E2FBF">
              <w:rPr>
                <w:rFonts w:cstheme="minorHAnsi"/>
                <w:b/>
              </w:rPr>
              <w:t>5</w:t>
            </w:r>
            <w:r>
              <w:rPr>
                <w:rFonts w:cstheme="minorHAnsi"/>
                <w:b/>
              </w:rPr>
              <w:t xml:space="preserve"> December 2021 </w:t>
            </w:r>
            <w:r w:rsidR="004E2FBF">
              <w:rPr>
                <w:rFonts w:cstheme="minorHAnsi"/>
                <w:b/>
              </w:rPr>
              <w:t>2.40-3</w:t>
            </w:r>
            <w:r>
              <w:rPr>
                <w:rFonts w:cstheme="minorHAnsi"/>
                <w:b/>
              </w:rPr>
              <w:t>.00pm.</w:t>
            </w:r>
            <w:r w:rsidRPr="00DE05EC">
              <w:rPr>
                <w:rFonts w:cstheme="minorHAnsi"/>
                <w:b/>
              </w:rPr>
              <w:t xml:space="preserve"> </w:t>
            </w:r>
          </w:p>
          <w:p w:rsidR="00636D99" w:rsidRDefault="00636D99" w:rsidP="00636D99">
            <w:pPr>
              <w:rPr>
                <w:rFonts w:eastAsia="Times New Roman"/>
              </w:rPr>
            </w:pPr>
            <w:r>
              <w:rPr>
                <w:rFonts w:eastAsia="Times New Roman"/>
              </w:rPr>
              <w:t xml:space="preserve">Applicants will be </w:t>
            </w:r>
            <w:r w:rsidRPr="00636D99">
              <w:rPr>
                <w:rFonts w:eastAsia="Times New Roman"/>
              </w:rPr>
              <w:t>assigned a mentor according to expertise. Either: from academics/ consultants Peter Gallagher or Eliot Forster.</w:t>
            </w:r>
          </w:p>
          <w:p w:rsidR="00636D99" w:rsidRDefault="00636D99" w:rsidP="00636D99">
            <w:pPr>
              <w:jc w:val="both"/>
              <w:rPr>
                <w:lang w:eastAsia="en-GB"/>
              </w:rPr>
            </w:pPr>
            <w:r w:rsidRPr="00460C0C">
              <w:rPr>
                <w:lang w:eastAsia="en-GB"/>
              </w:rPr>
              <w:t>Projects should be costed via the applicant’s Institute Finance Team. All applications must have approval from relevant Heads of Institute/School</w:t>
            </w:r>
            <w:r w:rsidRPr="00460C0C">
              <w:rPr>
                <w:strike/>
                <w:lang w:eastAsia="en-GB"/>
              </w:rPr>
              <w:t>.</w:t>
            </w:r>
          </w:p>
          <w:p w:rsidR="00636D99" w:rsidRPr="00636D99" w:rsidRDefault="00636D99" w:rsidP="00636D99">
            <w:pPr>
              <w:rPr>
                <w:rFonts w:eastAsia="Times New Roman"/>
              </w:rPr>
            </w:pPr>
            <w:r>
              <w:rPr>
                <w:rFonts w:eastAsia="Times New Roman"/>
              </w:rPr>
              <w:t xml:space="preserve">The </w:t>
            </w:r>
            <w:proofErr w:type="gramStart"/>
            <w:r>
              <w:rPr>
                <w:rFonts w:eastAsia="Times New Roman"/>
              </w:rPr>
              <w:t>two page</w:t>
            </w:r>
            <w:proofErr w:type="gramEnd"/>
            <w:r>
              <w:rPr>
                <w:rFonts w:eastAsia="Times New Roman"/>
              </w:rPr>
              <w:t xml:space="preserve"> </w:t>
            </w:r>
            <w:r w:rsidRPr="00636D99">
              <w:rPr>
                <w:rFonts w:eastAsia="Times New Roman"/>
              </w:rPr>
              <w:t xml:space="preserve">application </w:t>
            </w:r>
            <w:r>
              <w:rPr>
                <w:rFonts w:eastAsia="Times New Roman"/>
              </w:rPr>
              <w:t xml:space="preserve">form to be submitted </w:t>
            </w:r>
            <w:r w:rsidRPr="00636D99">
              <w:rPr>
                <w:rFonts w:eastAsia="Times New Roman"/>
              </w:rPr>
              <w:t xml:space="preserve">by </w:t>
            </w:r>
            <w:r w:rsidRPr="00636D99">
              <w:rPr>
                <w:rFonts w:eastAsia="Times New Roman"/>
                <w:b/>
              </w:rPr>
              <w:t>Wednesday 26 January</w:t>
            </w:r>
            <w:r>
              <w:rPr>
                <w:rFonts w:eastAsia="Times New Roman"/>
                <w:b/>
              </w:rPr>
              <w:t xml:space="preserve"> 2022</w:t>
            </w:r>
            <w:r>
              <w:rPr>
                <w:rFonts w:eastAsia="Times New Roman"/>
              </w:rPr>
              <w:t>. The application covers</w:t>
            </w:r>
            <w:r w:rsidRPr="00636D99">
              <w:rPr>
                <w:rFonts w:eastAsia="Times New Roman"/>
              </w:rPr>
              <w:t>: unmet clinical need, proposed solution, research proposal, future translation/ funding plans, what data expect to be able to obtain</w:t>
            </w:r>
            <w:r>
              <w:rPr>
                <w:rFonts w:eastAsia="Times New Roman"/>
              </w:rPr>
              <w:t>.</w:t>
            </w:r>
          </w:p>
          <w:p w:rsidR="00636D99" w:rsidRPr="00636D99" w:rsidRDefault="00636D99" w:rsidP="00636D99">
            <w:pPr>
              <w:rPr>
                <w:rFonts w:eastAsia="Times New Roman"/>
              </w:rPr>
            </w:pPr>
            <w:r w:rsidRPr="00636D99">
              <w:rPr>
                <w:rFonts w:eastAsia="Times New Roman"/>
              </w:rPr>
              <w:t xml:space="preserve">Panel shortlists on </w:t>
            </w:r>
            <w:r w:rsidR="004520A9">
              <w:rPr>
                <w:rFonts w:eastAsia="Times New Roman"/>
              </w:rPr>
              <w:t>Friday</w:t>
            </w:r>
            <w:r w:rsidRPr="00636D99">
              <w:rPr>
                <w:rFonts w:eastAsia="Times New Roman"/>
              </w:rPr>
              <w:t xml:space="preserve"> 2</w:t>
            </w:r>
            <w:r w:rsidR="004520A9">
              <w:rPr>
                <w:rFonts w:eastAsia="Times New Roman"/>
              </w:rPr>
              <w:t>8</w:t>
            </w:r>
            <w:r w:rsidRPr="00636D99">
              <w:rPr>
                <w:rFonts w:eastAsia="Times New Roman"/>
              </w:rPr>
              <w:t xml:space="preserve"> January</w:t>
            </w:r>
            <w:r>
              <w:rPr>
                <w:rFonts w:eastAsia="Times New Roman"/>
              </w:rPr>
              <w:t xml:space="preserve">, applicants informed by </w:t>
            </w:r>
            <w:proofErr w:type="spellStart"/>
            <w:r>
              <w:rPr>
                <w:rFonts w:eastAsia="Times New Roman"/>
              </w:rPr>
              <w:t>c.o.p.</w:t>
            </w:r>
            <w:proofErr w:type="spellEnd"/>
          </w:p>
          <w:p w:rsidR="00636D99" w:rsidRPr="00636D99" w:rsidRDefault="00636D99" w:rsidP="00636D99">
            <w:pPr>
              <w:rPr>
                <w:rFonts w:eastAsia="Times New Roman"/>
              </w:rPr>
            </w:pPr>
            <w:r w:rsidRPr="00636D99">
              <w:rPr>
                <w:rFonts w:eastAsia="Times New Roman"/>
                <w:b/>
              </w:rPr>
              <w:t>Afternoon of Thursday 3 January 2022</w:t>
            </w:r>
            <w:r>
              <w:rPr>
                <w:rFonts w:eastAsia="Times New Roman"/>
              </w:rPr>
              <w:t xml:space="preserve"> </w:t>
            </w:r>
            <w:r w:rsidRPr="00636D99">
              <w:rPr>
                <w:rFonts w:eastAsia="Times New Roman"/>
              </w:rPr>
              <w:t xml:space="preserve">shortlisted applicants </w:t>
            </w:r>
            <w:r>
              <w:rPr>
                <w:rFonts w:eastAsia="Times New Roman"/>
              </w:rPr>
              <w:t>to do</w:t>
            </w:r>
            <w:r w:rsidRPr="00636D99">
              <w:rPr>
                <w:rFonts w:eastAsia="Times New Roman"/>
              </w:rPr>
              <w:t xml:space="preserve"> a virtual or in- person pitch. Duration: a five-minute presentation and 10 minutes for panel questions. Total of 15 minutes per applicant. </w:t>
            </w:r>
          </w:p>
          <w:p w:rsidR="00636D99" w:rsidRPr="00636D99" w:rsidRDefault="00636D99" w:rsidP="00636D99">
            <w:pPr>
              <w:rPr>
                <w:rFonts w:eastAsia="Times New Roman"/>
              </w:rPr>
            </w:pPr>
            <w:r>
              <w:rPr>
                <w:rFonts w:eastAsia="Times New Roman"/>
              </w:rPr>
              <w:t>Four</w:t>
            </w:r>
            <w:r w:rsidRPr="00636D99">
              <w:rPr>
                <w:rFonts w:eastAsia="Times New Roman"/>
              </w:rPr>
              <w:t xml:space="preserve"> panel members from: </w:t>
            </w:r>
          </w:p>
          <w:p w:rsidR="00636D99" w:rsidRPr="00C5061E" w:rsidRDefault="00636D99" w:rsidP="00636D99">
            <w:pPr>
              <w:pStyle w:val="ListParagraph"/>
              <w:numPr>
                <w:ilvl w:val="0"/>
                <w:numId w:val="5"/>
              </w:numPr>
              <w:rPr>
                <w:rFonts w:eastAsia="Times New Roman"/>
              </w:rPr>
            </w:pPr>
            <w:r w:rsidRPr="00C5061E">
              <w:rPr>
                <w:rFonts w:eastAsia="Times New Roman"/>
                <w:u w:val="single"/>
              </w:rPr>
              <w:t>Industry</w:t>
            </w:r>
            <w:r w:rsidRPr="00C5061E">
              <w:rPr>
                <w:rFonts w:eastAsia="Times New Roman"/>
              </w:rPr>
              <w:t xml:space="preserve"> Peter Gallagher/ Eliot Forster/ Edwina Wright</w:t>
            </w:r>
          </w:p>
          <w:p w:rsidR="00636D99" w:rsidRDefault="00636D99" w:rsidP="00636D99">
            <w:pPr>
              <w:pStyle w:val="ListParagraph"/>
              <w:numPr>
                <w:ilvl w:val="0"/>
                <w:numId w:val="5"/>
              </w:numPr>
              <w:rPr>
                <w:rFonts w:eastAsia="Times New Roman"/>
              </w:rPr>
            </w:pPr>
            <w:r w:rsidRPr="00C5061E">
              <w:rPr>
                <w:rFonts w:eastAsia="Times New Roman"/>
                <w:u w:val="single"/>
              </w:rPr>
              <w:t>Academics</w:t>
            </w:r>
            <w:r w:rsidRPr="00C5061E">
              <w:rPr>
                <w:rFonts w:eastAsia="Times New Roman"/>
              </w:rPr>
              <w:t xml:space="preserve"> APVC Claire Eyers/ APVC Tom Walley </w:t>
            </w:r>
          </w:p>
          <w:p w:rsidR="00D735FB" w:rsidRPr="00636D99" w:rsidRDefault="00636D99" w:rsidP="00636D99">
            <w:pPr>
              <w:pStyle w:val="ListParagraph"/>
              <w:numPr>
                <w:ilvl w:val="0"/>
                <w:numId w:val="5"/>
              </w:numPr>
              <w:rPr>
                <w:rFonts w:eastAsia="Times New Roman"/>
              </w:rPr>
            </w:pPr>
            <w:r w:rsidRPr="00C5061E">
              <w:rPr>
                <w:rFonts w:eastAsia="Times New Roman"/>
                <w:u w:val="single"/>
              </w:rPr>
              <w:t xml:space="preserve">TBC: </w:t>
            </w:r>
            <w:r w:rsidRPr="00C5061E">
              <w:t>NHS clinicians</w:t>
            </w:r>
            <w:r>
              <w:t>,</w:t>
            </w:r>
            <w:r w:rsidRPr="00C5061E">
              <w:t xml:space="preserve"> as the potential target audience</w:t>
            </w:r>
            <w:r>
              <w:t>/ academic t</w:t>
            </w:r>
            <w:r w:rsidRPr="00C5061E">
              <w:rPr>
                <w:rFonts w:eastAsia="Times New Roman"/>
              </w:rPr>
              <w:t xml:space="preserve">hat reflects the research area. </w:t>
            </w:r>
          </w:p>
        </w:tc>
      </w:tr>
      <w:tr w:rsidR="00D735FB" w:rsidTr="00D735FB">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rsidR="00D735FB" w:rsidRDefault="00D735FB">
            <w:pPr>
              <w:spacing w:line="276" w:lineRule="auto"/>
            </w:pPr>
            <w:r>
              <w:rPr>
                <w:b/>
                <w:bCs/>
                <w:lang w:eastAsia="en-GB"/>
              </w:rPr>
              <w:t>Criteria</w:t>
            </w:r>
          </w:p>
          <w:p w:rsidR="00D735FB" w:rsidRDefault="00D735FB">
            <w:pPr>
              <w:jc w:val="both"/>
            </w:pPr>
            <w:r>
              <w:rPr>
                <w:lang w:eastAsia="en-GB"/>
              </w:rPr>
              <w:t>Please note the following when preparing your application:</w:t>
            </w:r>
          </w:p>
          <w:p w:rsidR="00D735FB" w:rsidRPr="00EC36C1" w:rsidRDefault="00D735FB" w:rsidP="00D735FB">
            <w:pPr>
              <w:numPr>
                <w:ilvl w:val="0"/>
                <w:numId w:val="36"/>
              </w:numPr>
              <w:spacing w:after="0" w:line="276" w:lineRule="auto"/>
              <w:textAlignment w:val="baseline"/>
              <w:rPr>
                <w:rFonts w:ascii="Calibri" w:eastAsia="Times New Roman" w:hAnsi="Calibri" w:cs="Calibri"/>
                <w:lang w:eastAsia="en-GB"/>
              </w:rPr>
            </w:pPr>
            <w:r w:rsidRPr="00EC36C1">
              <w:rPr>
                <w:rFonts w:ascii="Calibri" w:eastAsia="Times New Roman" w:hAnsi="Calibri" w:cs="Calibri"/>
                <w:b/>
                <w:bCs/>
                <w:lang w:eastAsia="en-GB"/>
              </w:rPr>
              <w:t>Translation Research:</w:t>
            </w:r>
            <w:r w:rsidRPr="00EC36C1">
              <w:rPr>
                <w:rFonts w:ascii="Calibri" w:eastAsia="Times New Roman" w:hAnsi="Calibri" w:cs="Calibri"/>
                <w:lang w:eastAsia="en-GB"/>
              </w:rPr>
              <w:t xml:space="preserve"> Awards are aimed at translational projects to develop</w:t>
            </w:r>
            <w:r w:rsidRPr="00EC36C1">
              <w:rPr>
                <w:rFonts w:ascii="Calibri" w:eastAsia="Times New Roman" w:hAnsi="Calibri" w:cs="Calibri"/>
                <w:b/>
                <w:bCs/>
                <w:lang w:eastAsia="en-GB"/>
              </w:rPr>
              <w:t xml:space="preserve"> pilot data </w:t>
            </w:r>
            <w:r w:rsidRPr="00EC36C1">
              <w:rPr>
                <w:rFonts w:ascii="Calibri" w:eastAsia="Times New Roman" w:hAnsi="Calibri" w:cs="Calibri"/>
                <w:lang w:eastAsia="en-GB"/>
              </w:rPr>
              <w:t>to support</w:t>
            </w:r>
            <w:r w:rsidRPr="00EC36C1">
              <w:rPr>
                <w:rFonts w:ascii="Calibri" w:eastAsia="Times New Roman" w:hAnsi="Calibri" w:cs="Calibri"/>
                <w:b/>
                <w:bCs/>
                <w:lang w:eastAsia="en-GB"/>
              </w:rPr>
              <w:t xml:space="preserve"> more substantive grant applications</w:t>
            </w:r>
            <w:r w:rsidRPr="00EC36C1">
              <w:rPr>
                <w:rFonts w:ascii="Calibri" w:eastAsia="Times New Roman" w:hAnsi="Calibri" w:cs="Calibri"/>
                <w:lang w:eastAsia="en-GB"/>
              </w:rPr>
              <w:t xml:space="preserve">, and must </w:t>
            </w:r>
            <w:r w:rsidRPr="00EC36C1">
              <w:rPr>
                <w:rFonts w:ascii="Calibri" w:eastAsia="Times New Roman" w:hAnsi="Calibri" w:cs="Calibri"/>
                <w:b/>
                <w:bCs/>
                <w:lang w:eastAsia="en-GB"/>
              </w:rPr>
              <w:t xml:space="preserve">identify a specific funding call </w:t>
            </w:r>
            <w:r w:rsidRPr="00EC36C1">
              <w:rPr>
                <w:rFonts w:ascii="Calibri" w:eastAsia="Times New Roman" w:hAnsi="Calibri" w:cs="Calibri"/>
                <w:lang w:eastAsia="en-GB"/>
              </w:rPr>
              <w:t>they are targeting for follow-on work, or equivalent (e.g. patent application, industry partnership/collaboration).</w:t>
            </w:r>
          </w:p>
          <w:p w:rsidR="00D735FB" w:rsidRPr="00EC36C1" w:rsidRDefault="00D735FB" w:rsidP="00D735FB">
            <w:pPr>
              <w:numPr>
                <w:ilvl w:val="0"/>
                <w:numId w:val="36"/>
              </w:numPr>
              <w:spacing w:after="0" w:line="276" w:lineRule="auto"/>
              <w:rPr>
                <w:rFonts w:ascii="Calibri" w:eastAsia="Times New Roman" w:hAnsi="Calibri" w:cs="Calibri"/>
                <w:color w:val="000000"/>
                <w:sz w:val="24"/>
                <w:szCs w:val="24"/>
                <w:lang w:eastAsia="en-GB"/>
              </w:rPr>
            </w:pPr>
            <w:r w:rsidRPr="00EC36C1">
              <w:rPr>
                <w:rFonts w:ascii="Calibri" w:eastAsia="Times New Roman" w:hAnsi="Calibri" w:cs="Calibri"/>
                <w:lang w:eastAsia="en-GB"/>
              </w:rPr>
              <w:lastRenderedPageBreak/>
              <w:t xml:space="preserve">The project should address a </w:t>
            </w:r>
            <w:r w:rsidRPr="00EC36C1">
              <w:rPr>
                <w:rFonts w:ascii="Calibri" w:eastAsia="Times New Roman" w:hAnsi="Calibri" w:cs="Calibri"/>
                <w:b/>
                <w:bCs/>
                <w:lang w:eastAsia="en-GB"/>
              </w:rPr>
              <w:t xml:space="preserve">health issue of significance </w:t>
            </w:r>
            <w:r w:rsidRPr="00EC36C1">
              <w:rPr>
                <w:rFonts w:ascii="Calibri" w:eastAsia="Times New Roman" w:hAnsi="Calibri" w:cs="Calibri"/>
                <w:bCs/>
                <w:lang w:eastAsia="en-GB"/>
              </w:rPr>
              <w:t>with priority given to applications that consider relevance to the Liverpool City region</w:t>
            </w:r>
            <w:r w:rsidRPr="00EC36C1">
              <w:rPr>
                <w:rFonts w:ascii="Calibri" w:eastAsia="Times New Roman" w:hAnsi="Calibri" w:cs="Calibri"/>
                <w:lang w:eastAsia="en-GB"/>
              </w:rPr>
              <w:t>.</w:t>
            </w:r>
          </w:p>
          <w:p w:rsidR="00EC36C1" w:rsidRDefault="00EC36C1">
            <w:pPr>
              <w:spacing w:line="276" w:lineRule="auto"/>
              <w:textAlignment w:val="baseline"/>
              <w:rPr>
                <w:rFonts w:ascii="Calibri" w:hAnsi="Calibri" w:cs="Calibri"/>
                <w:b/>
                <w:bCs/>
                <w:lang w:eastAsia="en-GB"/>
              </w:rPr>
            </w:pPr>
          </w:p>
          <w:p w:rsidR="00D735FB" w:rsidRPr="00EC36C1" w:rsidRDefault="00D735FB">
            <w:pPr>
              <w:spacing w:line="276" w:lineRule="auto"/>
              <w:textAlignment w:val="baseline"/>
              <w:rPr>
                <w:rFonts w:ascii="Calibri" w:hAnsi="Calibri" w:cs="Calibri"/>
                <w:lang w:eastAsia="en-GB"/>
              </w:rPr>
            </w:pPr>
            <w:r w:rsidRPr="00EC36C1">
              <w:rPr>
                <w:rFonts w:ascii="Calibri" w:hAnsi="Calibri" w:cs="Calibri"/>
                <w:b/>
                <w:bCs/>
                <w:lang w:eastAsia="en-GB"/>
              </w:rPr>
              <w:t xml:space="preserve">Applicant: </w:t>
            </w:r>
            <w:proofErr w:type="gramStart"/>
            <w:r w:rsidRPr="00EC36C1">
              <w:rPr>
                <w:rFonts w:ascii="Calibri" w:hAnsi="Calibri" w:cs="Calibri"/>
                <w:b/>
                <w:bCs/>
                <w:lang w:eastAsia="en-GB"/>
              </w:rPr>
              <w:t>a</w:t>
            </w:r>
            <w:proofErr w:type="gramEnd"/>
            <w:r w:rsidRPr="00EC36C1">
              <w:rPr>
                <w:rFonts w:ascii="Calibri" w:hAnsi="Calibri" w:cs="Calibri"/>
                <w:b/>
                <w:bCs/>
                <w:lang w:eastAsia="en-GB"/>
              </w:rPr>
              <w:t xml:space="preserve"> Faculty of Health and Life Sciences (FHLS) clinical/ non-clinical investigator Early Career Researcher, defined as:</w:t>
            </w:r>
            <w:r w:rsidRPr="00EC36C1">
              <w:rPr>
                <w:rFonts w:ascii="Calibri" w:hAnsi="Calibri" w:cs="Calibri"/>
                <w:lang w:eastAsia="en-GB"/>
              </w:rPr>
              <w:t xml:space="preserve"> </w:t>
            </w:r>
          </w:p>
          <w:p w:rsidR="00D735FB" w:rsidRPr="00EC36C1" w:rsidRDefault="00D735FB" w:rsidP="00D735FB">
            <w:pPr>
              <w:numPr>
                <w:ilvl w:val="1"/>
                <w:numId w:val="27"/>
              </w:numPr>
              <w:spacing w:after="0" w:line="276" w:lineRule="auto"/>
              <w:ind w:left="885" w:hanging="425"/>
              <w:jc w:val="both"/>
              <w:textAlignment w:val="baseline"/>
              <w:rPr>
                <w:rFonts w:ascii="Calibri" w:hAnsi="Calibri" w:cs="Calibri"/>
                <w:lang w:eastAsia="en-GB"/>
              </w:rPr>
            </w:pPr>
            <w:r w:rsidRPr="00EC36C1">
              <w:rPr>
                <w:rFonts w:ascii="Calibri" w:hAnsi="Calibri" w:cs="Calibri"/>
                <w:lang w:eastAsia="en-GB"/>
              </w:rPr>
              <w:t xml:space="preserve">Non-clinical:  up to ten years post-PhD completion. </w:t>
            </w:r>
          </w:p>
          <w:p w:rsidR="00460C0C" w:rsidRPr="00EC36C1" w:rsidRDefault="00460C0C" w:rsidP="00460C0C">
            <w:pPr>
              <w:spacing w:after="0" w:line="276" w:lineRule="auto"/>
              <w:ind w:left="885"/>
              <w:jc w:val="both"/>
              <w:textAlignment w:val="baseline"/>
              <w:rPr>
                <w:rFonts w:ascii="Calibri" w:hAnsi="Calibri" w:cs="Calibri"/>
                <w:lang w:eastAsia="en-GB"/>
              </w:rPr>
            </w:pPr>
            <w:r w:rsidRPr="00EC36C1">
              <w:rPr>
                <w:rFonts w:ascii="Calibri" w:hAnsi="Calibri" w:cs="Calibri"/>
                <w:lang w:eastAsia="en-GB"/>
              </w:rPr>
              <w:t>Or</w:t>
            </w:r>
          </w:p>
          <w:p w:rsidR="00D735FB" w:rsidRPr="00EC36C1" w:rsidRDefault="00D735FB" w:rsidP="00D735FB">
            <w:pPr>
              <w:numPr>
                <w:ilvl w:val="1"/>
                <w:numId w:val="27"/>
              </w:numPr>
              <w:spacing w:after="0" w:line="276" w:lineRule="auto"/>
              <w:ind w:left="885" w:hanging="425"/>
              <w:jc w:val="both"/>
              <w:textAlignment w:val="baseline"/>
              <w:rPr>
                <w:rFonts w:ascii="Calibri" w:hAnsi="Calibri" w:cs="Calibri"/>
                <w:lang w:eastAsia="en-GB"/>
              </w:rPr>
            </w:pPr>
            <w:r w:rsidRPr="00EC36C1">
              <w:rPr>
                <w:rFonts w:ascii="Calibri" w:hAnsi="Calibri" w:cs="Calibri"/>
                <w:lang w:eastAsia="en-GB"/>
              </w:rPr>
              <w:t>Clinical: no more than five years after consultant appointment for UoL staff.</w:t>
            </w:r>
          </w:p>
          <w:p w:rsidR="004520A9" w:rsidRDefault="00460C0C" w:rsidP="00122321">
            <w:pPr>
              <w:spacing w:after="0" w:line="276" w:lineRule="auto"/>
              <w:jc w:val="both"/>
              <w:textAlignment w:val="baseline"/>
              <w:rPr>
                <w:rFonts w:ascii="Calibri" w:hAnsi="Calibri" w:cs="Calibri"/>
                <w:i/>
                <w:iCs/>
                <w:lang w:eastAsia="en-GB"/>
              </w:rPr>
            </w:pPr>
            <w:r w:rsidRPr="00460C0C">
              <w:rPr>
                <w:rFonts w:ascii="Calibri" w:hAnsi="Calibri" w:cs="Calibri"/>
                <w:i/>
                <w:iCs/>
                <w:lang w:eastAsia="en-GB"/>
              </w:rPr>
              <w:t>P</w:t>
            </w:r>
            <w:r w:rsidR="00D735FB" w:rsidRPr="00460C0C">
              <w:rPr>
                <w:rFonts w:ascii="Calibri" w:hAnsi="Calibri" w:cs="Calibri"/>
                <w:i/>
                <w:iCs/>
                <w:lang w:eastAsia="en-GB"/>
              </w:rPr>
              <w:t>lease note that those with honorary positions are not eligible to lead an application</w:t>
            </w:r>
            <w:r w:rsidR="0011280C">
              <w:rPr>
                <w:rFonts w:ascii="Calibri" w:hAnsi="Calibri" w:cs="Calibri"/>
                <w:i/>
                <w:iCs/>
                <w:lang w:eastAsia="en-GB"/>
              </w:rPr>
              <w:t>. Collaborat</w:t>
            </w:r>
            <w:r w:rsidR="00EC36C1">
              <w:rPr>
                <w:rFonts w:ascii="Calibri" w:hAnsi="Calibri" w:cs="Calibri"/>
                <w:i/>
                <w:iCs/>
                <w:lang w:eastAsia="en-GB"/>
              </w:rPr>
              <w:t>ive team</w:t>
            </w:r>
            <w:r w:rsidR="0011280C">
              <w:rPr>
                <w:rFonts w:ascii="Calibri" w:hAnsi="Calibri" w:cs="Calibri"/>
                <w:i/>
                <w:iCs/>
                <w:lang w:eastAsia="en-GB"/>
              </w:rPr>
              <w:t>s can include non-HLS staff.</w:t>
            </w:r>
          </w:p>
          <w:p w:rsidR="00122321" w:rsidRPr="00122321" w:rsidRDefault="00122321" w:rsidP="00122321">
            <w:pPr>
              <w:spacing w:after="0" w:line="276" w:lineRule="auto"/>
              <w:jc w:val="both"/>
              <w:textAlignment w:val="baseline"/>
              <w:rPr>
                <w:rFonts w:ascii="Calibri" w:hAnsi="Calibri" w:cs="Calibri"/>
                <w:lang w:eastAsia="en-GB"/>
              </w:rPr>
            </w:pPr>
          </w:p>
          <w:p w:rsidR="00D735FB" w:rsidRPr="00460C0C" w:rsidRDefault="00D735FB">
            <w:pPr>
              <w:jc w:val="both"/>
              <w:textAlignment w:val="baseline"/>
              <w:rPr>
                <w:rFonts w:ascii="Calibri" w:hAnsi="Calibri" w:cs="Calibri"/>
                <w:lang w:eastAsia="en-GB"/>
              </w:rPr>
            </w:pPr>
            <w:r w:rsidRPr="00460C0C">
              <w:rPr>
                <w:rFonts w:ascii="Calibri" w:hAnsi="Calibri" w:cs="Calibri"/>
                <w:b/>
                <w:bCs/>
                <w:lang w:eastAsia="en-GB"/>
              </w:rPr>
              <w:t>Application Limit:</w:t>
            </w:r>
            <w:r w:rsidRPr="00460C0C">
              <w:rPr>
                <w:rFonts w:ascii="Calibri" w:hAnsi="Calibri" w:cs="Calibri"/>
                <w:lang w:eastAsia="en-GB"/>
              </w:rPr>
              <w:t xml:space="preserve"> Individuals can only lead a single award, but could be a co-applicant on distinct applications. </w:t>
            </w:r>
          </w:p>
          <w:p w:rsidR="00D735FB" w:rsidRDefault="00D735FB">
            <w:pPr>
              <w:jc w:val="both"/>
              <w:textAlignment w:val="baseline"/>
              <w:rPr>
                <w:lang w:eastAsia="en-GB"/>
              </w:rPr>
            </w:pPr>
            <w:r>
              <w:rPr>
                <w:b/>
                <w:bCs/>
                <w:lang w:eastAsia="en-GB"/>
              </w:rPr>
              <w:t>Ethical Approval:</w:t>
            </w:r>
            <w:r>
              <w:rPr>
                <w:lang w:eastAsia="en-GB"/>
              </w:rPr>
              <w:t xml:space="preserve"> Ethical approval must be sought and acquired, where relevant, before funding will be released.  </w:t>
            </w:r>
          </w:p>
          <w:p w:rsidR="00D735FB" w:rsidRDefault="00D735FB" w:rsidP="00EC36C1">
            <w:pPr>
              <w:jc w:val="both"/>
              <w:textAlignment w:val="baseline"/>
              <w:rPr>
                <w:lang w:eastAsia="en-GB"/>
              </w:rPr>
            </w:pPr>
            <w:r>
              <w:rPr>
                <w:lang w:eastAsia="en-GB"/>
              </w:rPr>
              <w:t> </w:t>
            </w:r>
            <w:r>
              <w:rPr>
                <w:b/>
                <w:bCs/>
                <w:lang w:eastAsia="en-GB"/>
              </w:rPr>
              <w:t>Impact:</w:t>
            </w:r>
            <w:r>
              <w:rPr>
                <w:lang w:eastAsia="en-GB"/>
              </w:rPr>
              <w:t xml:space="preserve"> An impact report must be submitted within three months of the date of completion of the project.  </w:t>
            </w:r>
          </w:p>
        </w:tc>
      </w:tr>
      <w:tr w:rsidR="00D735FB" w:rsidTr="00D735FB">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rsidR="00D735FB" w:rsidRDefault="00D735FB">
            <w:pPr>
              <w:jc w:val="both"/>
              <w:rPr>
                <w:b/>
                <w:bCs/>
                <w:lang w:eastAsia="en-GB"/>
              </w:rPr>
            </w:pPr>
            <w:r>
              <w:rPr>
                <w:b/>
                <w:bCs/>
                <w:lang w:eastAsia="en-GB"/>
              </w:rPr>
              <w:lastRenderedPageBreak/>
              <w:t>Eligible costs</w:t>
            </w:r>
          </w:p>
          <w:p w:rsidR="00D735FB" w:rsidRDefault="00D735FB">
            <w:pPr>
              <w:jc w:val="both"/>
            </w:pPr>
            <w:r>
              <w:rPr>
                <w:lang w:eastAsia="en-GB"/>
              </w:rPr>
              <w:t xml:space="preserve">Eligible costs include </w:t>
            </w:r>
            <w:r>
              <w:rPr>
                <w:b/>
                <w:bCs/>
                <w:lang w:eastAsia="en-GB"/>
              </w:rPr>
              <w:t>directly incurred</w:t>
            </w:r>
            <w:r>
              <w:rPr>
                <w:lang w:eastAsia="en-GB"/>
              </w:rPr>
              <w:t xml:space="preserve"> </w:t>
            </w:r>
            <w:r>
              <w:rPr>
                <w:b/>
                <w:bCs/>
                <w:lang w:eastAsia="en-GB"/>
              </w:rPr>
              <w:t>salaries, consumables and access charges for specific facilities</w:t>
            </w:r>
            <w:r>
              <w:rPr>
                <w:lang w:eastAsia="en-GB"/>
              </w:rPr>
              <w:t xml:space="preserve"> i.e. BSU and CRF costs.  </w:t>
            </w:r>
          </w:p>
          <w:p w:rsidR="00D735FB" w:rsidRDefault="00D735FB">
            <w:pPr>
              <w:jc w:val="both"/>
              <w:rPr>
                <w:lang w:eastAsia="en-GB"/>
              </w:rPr>
            </w:pPr>
            <w:r>
              <w:rPr>
                <w:lang w:eastAsia="en-GB"/>
              </w:rPr>
              <w:t xml:space="preserve">Please note that the funding is </w:t>
            </w:r>
            <w:r>
              <w:rPr>
                <w:b/>
                <w:bCs/>
                <w:u w:val="single"/>
                <w:lang w:eastAsia="en-GB"/>
              </w:rPr>
              <w:t>not</w:t>
            </w:r>
            <w:r>
              <w:rPr>
                <w:lang w:eastAsia="en-GB"/>
              </w:rPr>
              <w:t xml:space="preserve"> intended to support:</w:t>
            </w:r>
          </w:p>
          <w:p w:rsidR="00D735FB" w:rsidRDefault="00D735FB" w:rsidP="00D735FB">
            <w:pPr>
              <w:numPr>
                <w:ilvl w:val="0"/>
                <w:numId w:val="37"/>
              </w:numPr>
              <w:spacing w:after="0" w:line="240" w:lineRule="auto"/>
              <w:jc w:val="both"/>
              <w:rPr>
                <w:rFonts w:eastAsia="Times New Roman"/>
              </w:rPr>
            </w:pPr>
            <w:r>
              <w:rPr>
                <w:rFonts w:eastAsia="Times New Roman"/>
                <w:lang w:eastAsia="en-GB"/>
              </w:rPr>
              <w:t>The purchase of equipment is not allowed under this scheme</w:t>
            </w:r>
          </w:p>
          <w:p w:rsidR="00D735FB" w:rsidRDefault="00D735FB" w:rsidP="00D735FB">
            <w:pPr>
              <w:numPr>
                <w:ilvl w:val="0"/>
                <w:numId w:val="37"/>
              </w:numPr>
              <w:spacing w:after="0" w:line="240" w:lineRule="auto"/>
              <w:jc w:val="both"/>
              <w:rPr>
                <w:rFonts w:eastAsia="Times New Roman"/>
                <w:lang w:eastAsia="en-GB"/>
              </w:rPr>
            </w:pPr>
            <w:r>
              <w:rPr>
                <w:rFonts w:eastAsia="Times New Roman"/>
                <w:lang w:eastAsia="en-GB"/>
              </w:rPr>
              <w:t>Costs of PI time (FEC costs) for existing University/NHS staff</w:t>
            </w:r>
          </w:p>
          <w:p w:rsidR="00D735FB" w:rsidRDefault="00D735FB" w:rsidP="00D735FB">
            <w:pPr>
              <w:numPr>
                <w:ilvl w:val="0"/>
                <w:numId w:val="37"/>
              </w:numPr>
              <w:spacing w:line="276" w:lineRule="auto"/>
              <w:contextualSpacing/>
              <w:jc w:val="both"/>
              <w:rPr>
                <w:rFonts w:eastAsia="Times New Roman"/>
              </w:rPr>
            </w:pPr>
            <w:r>
              <w:rPr>
                <w:rFonts w:eastAsia="Times New Roman"/>
                <w:lang w:eastAsia="en-GB"/>
              </w:rPr>
              <w:t>Administration costs</w:t>
            </w:r>
          </w:p>
          <w:p w:rsidR="00D735FB" w:rsidRDefault="00D735FB" w:rsidP="00D735FB">
            <w:pPr>
              <w:numPr>
                <w:ilvl w:val="0"/>
                <w:numId w:val="37"/>
              </w:numPr>
              <w:spacing w:line="276" w:lineRule="auto"/>
              <w:contextualSpacing/>
              <w:jc w:val="both"/>
              <w:rPr>
                <w:rFonts w:eastAsia="Times New Roman"/>
                <w:lang w:eastAsia="en-GB"/>
              </w:rPr>
            </w:pPr>
            <w:r>
              <w:rPr>
                <w:rFonts w:eastAsia="Times New Roman"/>
                <w:lang w:eastAsia="en-GB"/>
              </w:rPr>
              <w:t>Staff between posts (i.e. as bridging funds) or PhD studentships</w:t>
            </w:r>
          </w:p>
          <w:p w:rsidR="00D735FB" w:rsidRDefault="00D735FB" w:rsidP="00D735FB">
            <w:pPr>
              <w:numPr>
                <w:ilvl w:val="0"/>
                <w:numId w:val="37"/>
              </w:numPr>
              <w:spacing w:line="276" w:lineRule="auto"/>
              <w:contextualSpacing/>
              <w:jc w:val="both"/>
              <w:rPr>
                <w:rFonts w:eastAsia="Times New Roman"/>
                <w:lang w:eastAsia="en-GB"/>
              </w:rPr>
            </w:pPr>
            <w:r>
              <w:rPr>
                <w:rFonts w:eastAsia="Times New Roman"/>
                <w:lang w:eastAsia="en-GB"/>
              </w:rPr>
              <w:t>Continuation of normal research grants</w:t>
            </w:r>
          </w:p>
          <w:p w:rsidR="00D735FB" w:rsidRPr="004520A9" w:rsidRDefault="00D735FB" w:rsidP="004520A9">
            <w:pPr>
              <w:numPr>
                <w:ilvl w:val="0"/>
                <w:numId w:val="37"/>
              </w:numPr>
              <w:spacing w:line="276" w:lineRule="auto"/>
              <w:contextualSpacing/>
              <w:jc w:val="both"/>
              <w:rPr>
                <w:rFonts w:eastAsia="Times New Roman"/>
                <w:lang w:eastAsia="en-GB"/>
              </w:rPr>
            </w:pPr>
            <w:r>
              <w:rPr>
                <w:rFonts w:eastAsia="Times New Roman"/>
                <w:lang w:eastAsia="en-GB"/>
              </w:rPr>
              <w:t>Costs relating to protection of intellectual property</w:t>
            </w:r>
          </w:p>
        </w:tc>
      </w:tr>
      <w:tr w:rsidR="00D735FB" w:rsidTr="00D735FB">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rsidR="00D735FB" w:rsidRDefault="00D735FB">
            <w:pPr>
              <w:jc w:val="both"/>
              <w:rPr>
                <w:b/>
                <w:bCs/>
                <w:lang w:eastAsia="en-GB"/>
              </w:rPr>
            </w:pPr>
            <w:r>
              <w:rPr>
                <w:b/>
                <w:bCs/>
                <w:lang w:eastAsia="en-GB"/>
              </w:rPr>
              <w:t>Key assessment criteria:</w:t>
            </w:r>
          </w:p>
          <w:p w:rsidR="00D735FB" w:rsidRPr="00460C0C" w:rsidRDefault="00D735FB" w:rsidP="00D735FB">
            <w:pPr>
              <w:numPr>
                <w:ilvl w:val="0"/>
                <w:numId w:val="38"/>
              </w:numPr>
              <w:spacing w:after="0" w:line="240" w:lineRule="auto"/>
              <w:jc w:val="both"/>
              <w:rPr>
                <w:rFonts w:eastAsia="Times New Roman"/>
                <w:lang w:eastAsia="en-GB"/>
              </w:rPr>
            </w:pPr>
            <w:r>
              <w:rPr>
                <w:rFonts w:eastAsia="Times New Roman"/>
                <w:lang w:eastAsia="en-GB"/>
              </w:rPr>
              <w:t xml:space="preserve">Awards are aimed at projects seeking pump priming to develop pilot data to support more substantive grant applications. Awards will only be given to applicants who have clearly articulated the translational aspect of the application and who have identified a specific </w:t>
            </w:r>
            <w:r w:rsidRPr="00460C0C">
              <w:rPr>
                <w:rFonts w:eastAsia="Times New Roman"/>
                <w:lang w:eastAsia="en-GB"/>
              </w:rPr>
              <w:t xml:space="preserve">funding call they are targeting for follow-on work. </w:t>
            </w:r>
          </w:p>
          <w:p w:rsidR="00460C0C" w:rsidRPr="00460C0C" w:rsidRDefault="00D735FB" w:rsidP="00D735FB">
            <w:pPr>
              <w:numPr>
                <w:ilvl w:val="0"/>
                <w:numId w:val="38"/>
              </w:numPr>
              <w:spacing w:after="0" w:line="252" w:lineRule="auto"/>
              <w:jc w:val="both"/>
              <w:rPr>
                <w:rFonts w:eastAsia="Times New Roman"/>
                <w:lang w:eastAsia="en-GB"/>
              </w:rPr>
            </w:pPr>
            <w:r w:rsidRPr="00460C0C">
              <w:rPr>
                <w:rFonts w:eastAsia="Times New Roman"/>
                <w:lang w:eastAsia="en-GB"/>
              </w:rPr>
              <w:t xml:space="preserve">Does the project address </w:t>
            </w:r>
            <w:r w:rsidR="000A1C55" w:rsidRPr="00460C0C">
              <w:rPr>
                <w:rFonts w:eastAsia="Times New Roman"/>
                <w:lang w:eastAsia="en-GB"/>
              </w:rPr>
              <w:t xml:space="preserve">a </w:t>
            </w:r>
            <w:r w:rsidR="000A1C55" w:rsidRPr="00460C0C">
              <w:rPr>
                <w:rFonts w:eastAsia="Times New Roman"/>
                <w:bCs/>
                <w:lang w:eastAsia="en-GB"/>
              </w:rPr>
              <w:t xml:space="preserve">health issue of significance </w:t>
            </w:r>
            <w:r w:rsidR="00460C0C" w:rsidRPr="00460C0C">
              <w:rPr>
                <w:rFonts w:eastAsia="Times New Roman"/>
                <w:bCs/>
                <w:lang w:eastAsia="en-GB"/>
              </w:rPr>
              <w:t>(</w:t>
            </w:r>
            <w:r w:rsidR="000A1C55" w:rsidRPr="00460C0C">
              <w:rPr>
                <w:rFonts w:eastAsia="Times New Roman"/>
                <w:bCs/>
                <w:lang w:eastAsia="en-GB"/>
              </w:rPr>
              <w:t xml:space="preserve">priority given to applications that consider relevance to the Liverpool City </w:t>
            </w:r>
            <w:r w:rsidR="00460C0C" w:rsidRPr="00460C0C">
              <w:rPr>
                <w:rFonts w:eastAsia="Times New Roman"/>
                <w:bCs/>
                <w:lang w:eastAsia="en-GB"/>
              </w:rPr>
              <w:t>region)</w:t>
            </w:r>
            <w:r w:rsidR="00460C0C">
              <w:rPr>
                <w:rFonts w:eastAsia="Times New Roman"/>
                <w:bCs/>
                <w:lang w:eastAsia="en-GB"/>
              </w:rPr>
              <w:t>?</w:t>
            </w:r>
            <w:r w:rsidR="000A1C55" w:rsidRPr="00460C0C">
              <w:rPr>
                <w:rFonts w:eastAsia="Times New Roman"/>
                <w:lang w:eastAsia="en-GB"/>
              </w:rPr>
              <w:t xml:space="preserve"> </w:t>
            </w:r>
          </w:p>
          <w:p w:rsidR="00D735FB" w:rsidRDefault="00D735FB" w:rsidP="00D735FB">
            <w:pPr>
              <w:numPr>
                <w:ilvl w:val="0"/>
                <w:numId w:val="38"/>
              </w:numPr>
              <w:spacing w:after="0" w:line="252" w:lineRule="auto"/>
              <w:jc w:val="both"/>
              <w:rPr>
                <w:rFonts w:eastAsia="Times New Roman"/>
                <w:color w:val="000000"/>
                <w:lang w:eastAsia="en-GB"/>
              </w:rPr>
            </w:pPr>
            <w:r>
              <w:rPr>
                <w:rFonts w:eastAsia="Times New Roman"/>
                <w:color w:val="000000"/>
                <w:lang w:eastAsia="en-GB"/>
              </w:rPr>
              <w:t>Is there a clear strategy to progress towards a longer-term solution to an unmet clinical need?</w:t>
            </w:r>
          </w:p>
          <w:p w:rsidR="00D735FB" w:rsidRDefault="00D735FB" w:rsidP="00D735FB">
            <w:pPr>
              <w:numPr>
                <w:ilvl w:val="0"/>
                <w:numId w:val="38"/>
              </w:numPr>
              <w:spacing w:after="0" w:line="252" w:lineRule="auto"/>
              <w:jc w:val="both"/>
              <w:rPr>
                <w:rFonts w:eastAsia="Times New Roman"/>
                <w:lang w:eastAsia="en-GB"/>
              </w:rPr>
            </w:pPr>
            <w:r>
              <w:rPr>
                <w:rFonts w:eastAsia="Times New Roman"/>
                <w:lang w:eastAsia="en-GB"/>
              </w:rPr>
              <w:t>Is the work plan clear and achievable and will implementation lead to the stated objectives being accomplished?</w:t>
            </w:r>
          </w:p>
          <w:p w:rsidR="00D735FB" w:rsidRPr="004520A9" w:rsidRDefault="00D735FB" w:rsidP="004520A9">
            <w:pPr>
              <w:numPr>
                <w:ilvl w:val="0"/>
                <w:numId w:val="38"/>
              </w:numPr>
              <w:spacing w:after="0" w:line="252" w:lineRule="auto"/>
              <w:jc w:val="both"/>
              <w:rPr>
                <w:rFonts w:eastAsia="Times New Roman"/>
                <w:lang w:eastAsia="en-GB"/>
              </w:rPr>
            </w:pPr>
            <w:r>
              <w:rPr>
                <w:rFonts w:eastAsia="Times New Roman"/>
                <w:lang w:eastAsia="en-GB"/>
              </w:rPr>
              <w:t>Are the costs justified and realistic?</w:t>
            </w:r>
          </w:p>
        </w:tc>
      </w:tr>
      <w:tr w:rsidR="00D735FB" w:rsidTr="00D735FB">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rsidR="00D735FB" w:rsidRDefault="00D735FB">
            <w:pPr>
              <w:jc w:val="both"/>
              <w:rPr>
                <w:b/>
                <w:bCs/>
                <w:lang w:eastAsia="en-GB"/>
              </w:rPr>
            </w:pPr>
            <w:r>
              <w:rPr>
                <w:b/>
                <w:bCs/>
                <w:lang w:eastAsia="en-GB"/>
              </w:rPr>
              <w:t>Assessment panel</w:t>
            </w:r>
          </w:p>
          <w:p w:rsidR="00D735FB" w:rsidRDefault="00D735FB">
            <w:pPr>
              <w:jc w:val="both"/>
              <w:rPr>
                <w:b/>
                <w:bCs/>
                <w:lang w:eastAsia="en-GB"/>
              </w:rPr>
            </w:pPr>
            <w:r>
              <w:rPr>
                <w:lang w:eastAsia="en-GB"/>
              </w:rPr>
              <w:lastRenderedPageBreak/>
              <w:t xml:space="preserve">Applications will be evaluated by a panel of senior </w:t>
            </w:r>
            <w:r>
              <w:rPr>
                <w:color w:val="000000"/>
                <w:lang w:eastAsia="en-GB"/>
              </w:rPr>
              <w:t>academics</w:t>
            </w:r>
            <w:r>
              <w:rPr>
                <w:lang w:eastAsia="en-GB"/>
              </w:rPr>
              <w:t xml:space="preserve"> from the University of Liverpool along with</w:t>
            </w:r>
            <w:r w:rsidR="00760A29">
              <w:rPr>
                <w:lang w:eastAsia="en-GB"/>
              </w:rPr>
              <w:t xml:space="preserve"> </w:t>
            </w:r>
            <w:r>
              <w:rPr>
                <w:lang w:eastAsia="en-GB"/>
              </w:rPr>
              <w:t>Liverpool Health Partners (LHP) representation and externals from industry.</w:t>
            </w:r>
          </w:p>
          <w:p w:rsidR="00D735FB" w:rsidRDefault="00D735FB">
            <w:pPr>
              <w:jc w:val="both"/>
              <w:rPr>
                <w:lang w:eastAsia="en-GB"/>
              </w:rPr>
            </w:pPr>
            <w:r w:rsidRPr="00D735FB">
              <w:rPr>
                <w:lang w:eastAsia="en-GB"/>
              </w:rPr>
              <w:t>Each application will be read by all panel members and scored using the MRC Peer Reviewers Handbook Scoring Matrix, scored 1-6. All scored applications will then be ranked and shortlisted.</w:t>
            </w:r>
          </w:p>
          <w:p w:rsidR="00D735FB" w:rsidRPr="000A1C55" w:rsidRDefault="00D735FB">
            <w:pPr>
              <w:jc w:val="both"/>
              <w:rPr>
                <w:color w:val="FF0000"/>
              </w:rPr>
            </w:pPr>
            <w:r>
              <w:rPr>
                <w:lang w:eastAsia="en-GB"/>
              </w:rPr>
              <w:t>Shortlisted applicants will be invited to present their project and answer questions to the panel, ‘Dragon’s Den’ style.</w:t>
            </w:r>
            <w:r>
              <w:t xml:space="preserve"> </w:t>
            </w:r>
            <w:r w:rsidRPr="000A1C55">
              <w:t>Presentations will last five minute</w:t>
            </w:r>
            <w:r w:rsidR="00760A29">
              <w:t>s</w:t>
            </w:r>
            <w:r w:rsidRPr="000A1C55">
              <w:t xml:space="preserve"> </w:t>
            </w:r>
            <w:proofErr w:type="gramStart"/>
            <w:r w:rsidRPr="000A1C55">
              <w:t>followed</w:t>
            </w:r>
            <w:proofErr w:type="gramEnd"/>
            <w:r w:rsidRPr="000A1C55">
              <w:t xml:space="preserve"> by 10 minutes of questions, 15 minutes total per applicant.</w:t>
            </w:r>
          </w:p>
        </w:tc>
      </w:tr>
    </w:tbl>
    <w:p w:rsidR="00D735FB" w:rsidRPr="00D735FB" w:rsidRDefault="00D735FB" w:rsidP="00D735FB">
      <w:pPr>
        <w:rPr>
          <w:rFonts w:eastAsia="Times New Roman"/>
          <w:i/>
        </w:rPr>
      </w:pPr>
    </w:p>
    <w:sectPr w:rsidR="00D735FB" w:rsidRPr="00D735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F92" w:rsidRDefault="00243F92" w:rsidP="00000936">
      <w:pPr>
        <w:spacing w:after="0" w:line="240" w:lineRule="auto"/>
      </w:pPr>
      <w:r>
        <w:separator/>
      </w:r>
    </w:p>
  </w:endnote>
  <w:endnote w:type="continuationSeparator" w:id="0">
    <w:p w:rsidR="00243F92" w:rsidRDefault="00243F92" w:rsidP="00000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F92" w:rsidRDefault="00243F92" w:rsidP="00000936">
      <w:pPr>
        <w:spacing w:after="0" w:line="240" w:lineRule="auto"/>
      </w:pPr>
      <w:r>
        <w:separator/>
      </w:r>
    </w:p>
  </w:footnote>
  <w:footnote w:type="continuationSeparator" w:id="0">
    <w:p w:rsidR="00243F92" w:rsidRDefault="00243F92" w:rsidP="00000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6DC"/>
    <w:multiLevelType w:val="hybridMultilevel"/>
    <w:tmpl w:val="A600F5AA"/>
    <w:lvl w:ilvl="0" w:tplc="9E9E7A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893DB4"/>
    <w:multiLevelType w:val="hybridMultilevel"/>
    <w:tmpl w:val="EB108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33EF3"/>
    <w:multiLevelType w:val="multilevel"/>
    <w:tmpl w:val="73086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EC6A46"/>
    <w:multiLevelType w:val="multilevel"/>
    <w:tmpl w:val="D400A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630EBC"/>
    <w:multiLevelType w:val="hybridMultilevel"/>
    <w:tmpl w:val="4ED83636"/>
    <w:lvl w:ilvl="0" w:tplc="41583AB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7069C7"/>
    <w:multiLevelType w:val="hybridMultilevel"/>
    <w:tmpl w:val="7A685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F2423"/>
    <w:multiLevelType w:val="hybridMultilevel"/>
    <w:tmpl w:val="3368A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B57CE1"/>
    <w:multiLevelType w:val="hybridMultilevel"/>
    <w:tmpl w:val="328C7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70530"/>
    <w:multiLevelType w:val="hybridMultilevel"/>
    <w:tmpl w:val="4AF02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FE4EEB"/>
    <w:multiLevelType w:val="hybridMultilevel"/>
    <w:tmpl w:val="4F70E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14DB1"/>
    <w:multiLevelType w:val="hybridMultilevel"/>
    <w:tmpl w:val="81AC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BF4AFB"/>
    <w:multiLevelType w:val="hybridMultilevel"/>
    <w:tmpl w:val="8FD6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EF777A"/>
    <w:multiLevelType w:val="hybridMultilevel"/>
    <w:tmpl w:val="C4626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8B48D2"/>
    <w:multiLevelType w:val="multilevel"/>
    <w:tmpl w:val="B45A6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EAA0785"/>
    <w:multiLevelType w:val="hybridMultilevel"/>
    <w:tmpl w:val="4A6C7DEE"/>
    <w:lvl w:ilvl="0" w:tplc="08090001">
      <w:start w:val="1"/>
      <w:numFmt w:val="bullet"/>
      <w:lvlText w:val=""/>
      <w:lvlJc w:val="left"/>
      <w:pPr>
        <w:ind w:left="781" w:hanging="360"/>
      </w:pPr>
      <w:rPr>
        <w:rFonts w:ascii="Symbol" w:hAnsi="Symbol"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5" w15:restartNumberingAfterBreak="0">
    <w:nsid w:val="51656165"/>
    <w:multiLevelType w:val="hybridMultilevel"/>
    <w:tmpl w:val="441A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7712DC"/>
    <w:multiLevelType w:val="hybridMultilevel"/>
    <w:tmpl w:val="4D8C8D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8315F"/>
    <w:multiLevelType w:val="hybridMultilevel"/>
    <w:tmpl w:val="A8E033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45C12CE"/>
    <w:multiLevelType w:val="multilevel"/>
    <w:tmpl w:val="51102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C0169FA"/>
    <w:multiLevelType w:val="hybridMultilevel"/>
    <w:tmpl w:val="E0F4A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8F2FA1"/>
    <w:multiLevelType w:val="hybridMultilevel"/>
    <w:tmpl w:val="F11A1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0240CC"/>
    <w:multiLevelType w:val="multilevel"/>
    <w:tmpl w:val="22F45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281ECA"/>
    <w:multiLevelType w:val="hybridMultilevel"/>
    <w:tmpl w:val="AC526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4D2085"/>
    <w:multiLevelType w:val="hybridMultilevel"/>
    <w:tmpl w:val="CE6E11B8"/>
    <w:lvl w:ilvl="0" w:tplc="08090001">
      <w:start w:val="1"/>
      <w:numFmt w:val="bullet"/>
      <w:lvlText w:val=""/>
      <w:lvlJc w:val="left"/>
      <w:pPr>
        <w:ind w:left="720" w:hanging="360"/>
      </w:pPr>
      <w:rPr>
        <w:rFonts w:ascii="Symbol" w:hAnsi="Symbo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547287A"/>
    <w:multiLevelType w:val="hybridMultilevel"/>
    <w:tmpl w:val="348E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0B0673A"/>
    <w:multiLevelType w:val="multilevel"/>
    <w:tmpl w:val="D400A3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4386107"/>
    <w:multiLevelType w:val="hybridMultilevel"/>
    <w:tmpl w:val="283AB9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F164D9"/>
    <w:multiLevelType w:val="multilevel"/>
    <w:tmpl w:val="37EA77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C8633E"/>
    <w:multiLevelType w:val="hybridMultilevel"/>
    <w:tmpl w:val="2048A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08443D"/>
    <w:multiLevelType w:val="multilevel"/>
    <w:tmpl w:val="430A54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C2029F"/>
    <w:multiLevelType w:val="hybridMultilevel"/>
    <w:tmpl w:val="A7BA0CFE"/>
    <w:lvl w:ilvl="0" w:tplc="2FAAE472">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EA41B43"/>
    <w:multiLevelType w:val="hybridMultilevel"/>
    <w:tmpl w:val="252C4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E85DBB"/>
    <w:multiLevelType w:val="hybridMultilevel"/>
    <w:tmpl w:val="23AA72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3"/>
  </w:num>
  <w:num w:numId="4">
    <w:abstractNumId w:val="29"/>
  </w:num>
  <w:num w:numId="5">
    <w:abstractNumId w:val="21"/>
  </w:num>
  <w:num w:numId="6">
    <w:abstractNumId w:val="27"/>
  </w:num>
  <w:num w:numId="7">
    <w:abstractNumId w:val="26"/>
  </w:num>
  <w:num w:numId="8">
    <w:abstractNumId w:val="31"/>
  </w:num>
  <w:num w:numId="9">
    <w:abstractNumId w:val="17"/>
  </w:num>
  <w:num w:numId="10">
    <w:abstractNumId w:val="23"/>
  </w:num>
  <w:num w:numId="11">
    <w:abstractNumId w:val="3"/>
  </w:num>
  <w:num w:numId="12">
    <w:abstractNumId w:val="1"/>
  </w:num>
  <w:num w:numId="13">
    <w:abstractNumId w:val="16"/>
  </w:num>
  <w:num w:numId="14">
    <w:abstractNumId w:val="8"/>
  </w:num>
  <w:num w:numId="15">
    <w:abstractNumId w:val="5"/>
  </w:num>
  <w:num w:numId="16">
    <w:abstractNumId w:val="2"/>
  </w:num>
  <w:num w:numId="17">
    <w:abstractNumId w:val="32"/>
  </w:num>
  <w:num w:numId="18">
    <w:abstractNumId w:val="20"/>
  </w:num>
  <w:num w:numId="19">
    <w:abstractNumId w:val="9"/>
  </w:num>
  <w:num w:numId="20">
    <w:abstractNumId w:val="7"/>
  </w:num>
  <w:num w:numId="21">
    <w:abstractNumId w:val="12"/>
  </w:num>
  <w:num w:numId="22">
    <w:abstractNumId w:val="4"/>
  </w:num>
  <w:num w:numId="23">
    <w:abstractNumId w:val="30"/>
  </w:num>
  <w:num w:numId="24">
    <w:abstractNumId w:val="11"/>
  </w:num>
  <w:num w:numId="25">
    <w:abstractNumId w:val="15"/>
  </w:num>
  <w:num w:numId="26">
    <w:abstractNumId w:val="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0"/>
  </w:num>
  <w:num w:numId="30">
    <w:abstractNumId w:val="19"/>
  </w:num>
  <w:num w:numId="31">
    <w:abstractNumId w:val="14"/>
  </w:num>
  <w:num w:numId="32">
    <w:abstractNumId w:val="32"/>
  </w:num>
  <w:num w:numId="33">
    <w:abstractNumId w:val="6"/>
  </w:num>
  <w:num w:numId="34">
    <w:abstractNumId w:val="28"/>
  </w:num>
  <w:num w:numId="35">
    <w:abstractNumId w:val="24"/>
  </w:num>
  <w:num w:numId="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6FC"/>
    <w:rsid w:val="000007D7"/>
    <w:rsid w:val="00000936"/>
    <w:rsid w:val="000121BA"/>
    <w:rsid w:val="000521AB"/>
    <w:rsid w:val="0005772D"/>
    <w:rsid w:val="00077C7E"/>
    <w:rsid w:val="0008570E"/>
    <w:rsid w:val="0008576E"/>
    <w:rsid w:val="000A1C55"/>
    <w:rsid w:val="000B0E84"/>
    <w:rsid w:val="000C12C7"/>
    <w:rsid w:val="000C2F25"/>
    <w:rsid w:val="000E5A45"/>
    <w:rsid w:val="000F2152"/>
    <w:rsid w:val="000F6FC5"/>
    <w:rsid w:val="0011280C"/>
    <w:rsid w:val="00122321"/>
    <w:rsid w:val="00125EA4"/>
    <w:rsid w:val="00134776"/>
    <w:rsid w:val="0015296B"/>
    <w:rsid w:val="00161E75"/>
    <w:rsid w:val="00173ED7"/>
    <w:rsid w:val="001742BE"/>
    <w:rsid w:val="00177B39"/>
    <w:rsid w:val="00177FD1"/>
    <w:rsid w:val="00194F02"/>
    <w:rsid w:val="001B398E"/>
    <w:rsid w:val="001B602C"/>
    <w:rsid w:val="001C19BB"/>
    <w:rsid w:val="001C5A2F"/>
    <w:rsid w:val="001E2F96"/>
    <w:rsid w:val="001F3B24"/>
    <w:rsid w:val="001F6124"/>
    <w:rsid w:val="00200D73"/>
    <w:rsid w:val="00225F1C"/>
    <w:rsid w:val="0022734A"/>
    <w:rsid w:val="00243F92"/>
    <w:rsid w:val="0027197E"/>
    <w:rsid w:val="0028622C"/>
    <w:rsid w:val="002A24E1"/>
    <w:rsid w:val="002B7956"/>
    <w:rsid w:val="002C6CAC"/>
    <w:rsid w:val="002D10DF"/>
    <w:rsid w:val="002D5CE4"/>
    <w:rsid w:val="002E1878"/>
    <w:rsid w:val="002E3C3D"/>
    <w:rsid w:val="002E4F90"/>
    <w:rsid w:val="002F157A"/>
    <w:rsid w:val="002F782F"/>
    <w:rsid w:val="003024D7"/>
    <w:rsid w:val="00323BAB"/>
    <w:rsid w:val="003666FC"/>
    <w:rsid w:val="003917FB"/>
    <w:rsid w:val="00392CB3"/>
    <w:rsid w:val="003B336B"/>
    <w:rsid w:val="003C3AB7"/>
    <w:rsid w:val="003C4327"/>
    <w:rsid w:val="003D6635"/>
    <w:rsid w:val="003E6656"/>
    <w:rsid w:val="003F20D9"/>
    <w:rsid w:val="004044D2"/>
    <w:rsid w:val="00415D3D"/>
    <w:rsid w:val="0042082D"/>
    <w:rsid w:val="00432AA5"/>
    <w:rsid w:val="004520A9"/>
    <w:rsid w:val="00452127"/>
    <w:rsid w:val="00453757"/>
    <w:rsid w:val="00454E35"/>
    <w:rsid w:val="00456C8B"/>
    <w:rsid w:val="00457DD4"/>
    <w:rsid w:val="00460C0C"/>
    <w:rsid w:val="0046174C"/>
    <w:rsid w:val="00464DED"/>
    <w:rsid w:val="0047761E"/>
    <w:rsid w:val="00482C3F"/>
    <w:rsid w:val="004C5638"/>
    <w:rsid w:val="004D4078"/>
    <w:rsid w:val="004E2FBF"/>
    <w:rsid w:val="004F03A0"/>
    <w:rsid w:val="00505031"/>
    <w:rsid w:val="00507D93"/>
    <w:rsid w:val="005117AE"/>
    <w:rsid w:val="005269AD"/>
    <w:rsid w:val="005323B2"/>
    <w:rsid w:val="005366CA"/>
    <w:rsid w:val="005446BC"/>
    <w:rsid w:val="005472A0"/>
    <w:rsid w:val="00552B75"/>
    <w:rsid w:val="00555C09"/>
    <w:rsid w:val="005604F3"/>
    <w:rsid w:val="00567F80"/>
    <w:rsid w:val="0057370A"/>
    <w:rsid w:val="005742CE"/>
    <w:rsid w:val="0057623C"/>
    <w:rsid w:val="00593CA8"/>
    <w:rsid w:val="005C3891"/>
    <w:rsid w:val="005D16D7"/>
    <w:rsid w:val="005D1722"/>
    <w:rsid w:val="005E0609"/>
    <w:rsid w:val="005F25CE"/>
    <w:rsid w:val="0060004F"/>
    <w:rsid w:val="0060040F"/>
    <w:rsid w:val="0061707D"/>
    <w:rsid w:val="0062069D"/>
    <w:rsid w:val="00620F5A"/>
    <w:rsid w:val="00626649"/>
    <w:rsid w:val="00636D99"/>
    <w:rsid w:val="00655CE6"/>
    <w:rsid w:val="00661518"/>
    <w:rsid w:val="00672A1C"/>
    <w:rsid w:val="0069308E"/>
    <w:rsid w:val="006B4020"/>
    <w:rsid w:val="006D54A1"/>
    <w:rsid w:val="006F587B"/>
    <w:rsid w:val="0070687B"/>
    <w:rsid w:val="00707269"/>
    <w:rsid w:val="00710119"/>
    <w:rsid w:val="00711C24"/>
    <w:rsid w:val="007249E2"/>
    <w:rsid w:val="00760A29"/>
    <w:rsid w:val="007731E9"/>
    <w:rsid w:val="00774AA8"/>
    <w:rsid w:val="00774C90"/>
    <w:rsid w:val="007878E8"/>
    <w:rsid w:val="00787B6F"/>
    <w:rsid w:val="007B69F5"/>
    <w:rsid w:val="007D0D34"/>
    <w:rsid w:val="007D2BB4"/>
    <w:rsid w:val="007F2B27"/>
    <w:rsid w:val="007F4093"/>
    <w:rsid w:val="007F7B43"/>
    <w:rsid w:val="008033AC"/>
    <w:rsid w:val="00804D70"/>
    <w:rsid w:val="00810487"/>
    <w:rsid w:val="00814026"/>
    <w:rsid w:val="0081552D"/>
    <w:rsid w:val="008173A6"/>
    <w:rsid w:val="008625C8"/>
    <w:rsid w:val="00866015"/>
    <w:rsid w:val="0087038D"/>
    <w:rsid w:val="008707AF"/>
    <w:rsid w:val="00870A9D"/>
    <w:rsid w:val="00872433"/>
    <w:rsid w:val="00896AAF"/>
    <w:rsid w:val="008B1F3B"/>
    <w:rsid w:val="008B6165"/>
    <w:rsid w:val="008C05CA"/>
    <w:rsid w:val="008C0F72"/>
    <w:rsid w:val="008F419E"/>
    <w:rsid w:val="00913CF9"/>
    <w:rsid w:val="00914399"/>
    <w:rsid w:val="00922861"/>
    <w:rsid w:val="00925D4E"/>
    <w:rsid w:val="00926184"/>
    <w:rsid w:val="00930E62"/>
    <w:rsid w:val="0093699A"/>
    <w:rsid w:val="00942857"/>
    <w:rsid w:val="00962200"/>
    <w:rsid w:val="00963697"/>
    <w:rsid w:val="0096675C"/>
    <w:rsid w:val="009C5C69"/>
    <w:rsid w:val="009C7547"/>
    <w:rsid w:val="009D4B83"/>
    <w:rsid w:val="009F5BEF"/>
    <w:rsid w:val="00A14808"/>
    <w:rsid w:val="00A20ADF"/>
    <w:rsid w:val="00A21197"/>
    <w:rsid w:val="00A467AA"/>
    <w:rsid w:val="00A54E52"/>
    <w:rsid w:val="00A5628D"/>
    <w:rsid w:val="00A56CB5"/>
    <w:rsid w:val="00A65452"/>
    <w:rsid w:val="00A70EB8"/>
    <w:rsid w:val="00A816FA"/>
    <w:rsid w:val="00A81D56"/>
    <w:rsid w:val="00A830B9"/>
    <w:rsid w:val="00A83E0F"/>
    <w:rsid w:val="00AA2F8C"/>
    <w:rsid w:val="00AC3670"/>
    <w:rsid w:val="00AC409F"/>
    <w:rsid w:val="00AC5CF1"/>
    <w:rsid w:val="00AD5F95"/>
    <w:rsid w:val="00B022CE"/>
    <w:rsid w:val="00B164F2"/>
    <w:rsid w:val="00B41684"/>
    <w:rsid w:val="00B464C2"/>
    <w:rsid w:val="00B55C5D"/>
    <w:rsid w:val="00B575AE"/>
    <w:rsid w:val="00B57FEB"/>
    <w:rsid w:val="00B62BB5"/>
    <w:rsid w:val="00B82F42"/>
    <w:rsid w:val="00BA4E2E"/>
    <w:rsid w:val="00BB7EC2"/>
    <w:rsid w:val="00BC4C71"/>
    <w:rsid w:val="00C04355"/>
    <w:rsid w:val="00C04D3A"/>
    <w:rsid w:val="00C13F9C"/>
    <w:rsid w:val="00C33700"/>
    <w:rsid w:val="00C420D3"/>
    <w:rsid w:val="00C5061E"/>
    <w:rsid w:val="00C530DD"/>
    <w:rsid w:val="00C60A79"/>
    <w:rsid w:val="00C6103D"/>
    <w:rsid w:val="00C6564F"/>
    <w:rsid w:val="00C73A1A"/>
    <w:rsid w:val="00C80CD6"/>
    <w:rsid w:val="00C83195"/>
    <w:rsid w:val="00CB68C3"/>
    <w:rsid w:val="00CB7266"/>
    <w:rsid w:val="00CE64D9"/>
    <w:rsid w:val="00CF2973"/>
    <w:rsid w:val="00CF753E"/>
    <w:rsid w:val="00D00D36"/>
    <w:rsid w:val="00D05EB1"/>
    <w:rsid w:val="00D151EC"/>
    <w:rsid w:val="00D15C2B"/>
    <w:rsid w:val="00D303AF"/>
    <w:rsid w:val="00D34234"/>
    <w:rsid w:val="00D53A28"/>
    <w:rsid w:val="00D735FB"/>
    <w:rsid w:val="00D82946"/>
    <w:rsid w:val="00D8629C"/>
    <w:rsid w:val="00DA0AE9"/>
    <w:rsid w:val="00DA414F"/>
    <w:rsid w:val="00DA545C"/>
    <w:rsid w:val="00DB5700"/>
    <w:rsid w:val="00DC10FB"/>
    <w:rsid w:val="00DC7D01"/>
    <w:rsid w:val="00DD25B5"/>
    <w:rsid w:val="00DE05EC"/>
    <w:rsid w:val="00E41D00"/>
    <w:rsid w:val="00E61184"/>
    <w:rsid w:val="00E62182"/>
    <w:rsid w:val="00E76886"/>
    <w:rsid w:val="00E81C10"/>
    <w:rsid w:val="00EA28BC"/>
    <w:rsid w:val="00EB1291"/>
    <w:rsid w:val="00EB67B6"/>
    <w:rsid w:val="00EC1151"/>
    <w:rsid w:val="00EC36C1"/>
    <w:rsid w:val="00EF12F9"/>
    <w:rsid w:val="00F24DA3"/>
    <w:rsid w:val="00F30F5F"/>
    <w:rsid w:val="00F4052B"/>
    <w:rsid w:val="00F619BC"/>
    <w:rsid w:val="00F815F5"/>
    <w:rsid w:val="00F91622"/>
    <w:rsid w:val="00F918AE"/>
    <w:rsid w:val="00F96AD7"/>
    <w:rsid w:val="00FB24A8"/>
    <w:rsid w:val="00FC3564"/>
    <w:rsid w:val="00FE6600"/>
    <w:rsid w:val="00FF0647"/>
    <w:rsid w:val="00FF5F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E36744-DE89-486C-9A70-EEE90FDC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2F96"/>
  </w:style>
  <w:style w:type="paragraph" w:styleId="Heading2">
    <w:name w:val="heading 2"/>
    <w:basedOn w:val="Normal"/>
    <w:link w:val="Heading2Char"/>
    <w:uiPriority w:val="9"/>
    <w:qFormat/>
    <w:rsid w:val="00AC409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66FC"/>
    <w:rPr>
      <w:color w:val="0563C1"/>
      <w:u w:val="single"/>
    </w:rPr>
  </w:style>
  <w:style w:type="paragraph" w:styleId="ListParagraph">
    <w:name w:val="List Paragraph"/>
    <w:basedOn w:val="Normal"/>
    <w:uiPriority w:val="34"/>
    <w:qFormat/>
    <w:rsid w:val="003666FC"/>
    <w:pPr>
      <w:spacing w:after="0" w:line="240" w:lineRule="auto"/>
      <w:ind w:left="720"/>
    </w:pPr>
    <w:rPr>
      <w:rFonts w:ascii="Calibri" w:hAnsi="Calibri" w:cs="Calibri"/>
      <w:lang w:eastAsia="en-GB"/>
    </w:rPr>
  </w:style>
  <w:style w:type="paragraph" w:styleId="CommentText">
    <w:name w:val="annotation text"/>
    <w:basedOn w:val="Normal"/>
    <w:link w:val="CommentTextChar"/>
    <w:uiPriority w:val="99"/>
    <w:unhideWhenUsed/>
    <w:rsid w:val="002E3C3D"/>
    <w:pPr>
      <w:spacing w:line="240" w:lineRule="auto"/>
    </w:pPr>
    <w:rPr>
      <w:sz w:val="20"/>
      <w:szCs w:val="20"/>
    </w:rPr>
  </w:style>
  <w:style w:type="character" w:customStyle="1" w:styleId="CommentTextChar">
    <w:name w:val="Comment Text Char"/>
    <w:basedOn w:val="DefaultParagraphFont"/>
    <w:link w:val="CommentText"/>
    <w:uiPriority w:val="99"/>
    <w:rsid w:val="002E3C3D"/>
    <w:rPr>
      <w:sz w:val="20"/>
      <w:szCs w:val="20"/>
    </w:rPr>
  </w:style>
  <w:style w:type="table" w:styleId="TableGrid">
    <w:name w:val="Table Grid"/>
    <w:basedOn w:val="TableNormal"/>
    <w:uiPriority w:val="59"/>
    <w:rsid w:val="001529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15296B"/>
    <w:pPr>
      <w:spacing w:after="0" w:line="240" w:lineRule="auto"/>
    </w:pPr>
    <w:rPr>
      <w:rFonts w:ascii="Helvetica Neue" w:hAnsi="Helvetica Neue" w:cs="Calibri"/>
      <w:color w:val="1A1A26"/>
      <w:sz w:val="20"/>
      <w:szCs w:val="20"/>
      <w:lang w:eastAsia="en-GB"/>
    </w:rPr>
  </w:style>
  <w:style w:type="character" w:customStyle="1" w:styleId="apple-converted-space">
    <w:name w:val="apple-converted-space"/>
    <w:basedOn w:val="DefaultParagraphFont"/>
    <w:rsid w:val="0015296B"/>
  </w:style>
  <w:style w:type="paragraph" w:styleId="Header">
    <w:name w:val="header"/>
    <w:basedOn w:val="Normal"/>
    <w:link w:val="HeaderChar"/>
    <w:uiPriority w:val="99"/>
    <w:unhideWhenUsed/>
    <w:rsid w:val="00000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0936"/>
  </w:style>
  <w:style w:type="paragraph" w:styleId="Footer">
    <w:name w:val="footer"/>
    <w:basedOn w:val="Normal"/>
    <w:link w:val="FooterChar"/>
    <w:uiPriority w:val="99"/>
    <w:unhideWhenUsed/>
    <w:rsid w:val="00000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0936"/>
  </w:style>
  <w:style w:type="character" w:styleId="Strong">
    <w:name w:val="Strong"/>
    <w:basedOn w:val="DefaultParagraphFont"/>
    <w:uiPriority w:val="22"/>
    <w:qFormat/>
    <w:rsid w:val="00E76886"/>
    <w:rPr>
      <w:b/>
      <w:bCs/>
    </w:rPr>
  </w:style>
  <w:style w:type="paragraph" w:customStyle="1" w:styleId="paragraph">
    <w:name w:val="paragraph"/>
    <w:basedOn w:val="Normal"/>
    <w:rsid w:val="00E6218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62182"/>
  </w:style>
  <w:style w:type="character" w:customStyle="1" w:styleId="eop">
    <w:name w:val="eop"/>
    <w:basedOn w:val="DefaultParagraphFont"/>
    <w:rsid w:val="00E62182"/>
  </w:style>
  <w:style w:type="character" w:customStyle="1" w:styleId="Heading2Char">
    <w:name w:val="Heading 2 Char"/>
    <w:basedOn w:val="DefaultParagraphFont"/>
    <w:link w:val="Heading2"/>
    <w:uiPriority w:val="9"/>
    <w:rsid w:val="00AC409F"/>
    <w:rPr>
      <w:rFonts w:ascii="Times New Roman" w:eastAsia="Times New Roman" w:hAnsi="Times New Roman" w:cs="Times New Roman"/>
      <w:b/>
      <w:bCs/>
      <w:sz w:val="36"/>
      <w:szCs w:val="36"/>
      <w:lang w:eastAsia="en-GB"/>
    </w:rPr>
  </w:style>
  <w:style w:type="character" w:styleId="UnresolvedMention">
    <w:name w:val="Unresolved Mention"/>
    <w:basedOn w:val="DefaultParagraphFont"/>
    <w:uiPriority w:val="99"/>
    <w:semiHidden/>
    <w:unhideWhenUsed/>
    <w:rsid w:val="00636D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20509">
      <w:bodyDiv w:val="1"/>
      <w:marLeft w:val="0"/>
      <w:marRight w:val="0"/>
      <w:marTop w:val="0"/>
      <w:marBottom w:val="0"/>
      <w:divBdr>
        <w:top w:val="none" w:sz="0" w:space="0" w:color="auto"/>
        <w:left w:val="none" w:sz="0" w:space="0" w:color="auto"/>
        <w:bottom w:val="none" w:sz="0" w:space="0" w:color="auto"/>
        <w:right w:val="none" w:sz="0" w:space="0" w:color="auto"/>
      </w:divBdr>
    </w:div>
    <w:div w:id="137066826">
      <w:bodyDiv w:val="1"/>
      <w:marLeft w:val="0"/>
      <w:marRight w:val="0"/>
      <w:marTop w:val="0"/>
      <w:marBottom w:val="0"/>
      <w:divBdr>
        <w:top w:val="none" w:sz="0" w:space="0" w:color="auto"/>
        <w:left w:val="none" w:sz="0" w:space="0" w:color="auto"/>
        <w:bottom w:val="none" w:sz="0" w:space="0" w:color="auto"/>
        <w:right w:val="none" w:sz="0" w:space="0" w:color="auto"/>
      </w:divBdr>
    </w:div>
    <w:div w:id="186606082">
      <w:bodyDiv w:val="1"/>
      <w:marLeft w:val="0"/>
      <w:marRight w:val="0"/>
      <w:marTop w:val="0"/>
      <w:marBottom w:val="0"/>
      <w:divBdr>
        <w:top w:val="none" w:sz="0" w:space="0" w:color="auto"/>
        <w:left w:val="none" w:sz="0" w:space="0" w:color="auto"/>
        <w:bottom w:val="none" w:sz="0" w:space="0" w:color="auto"/>
        <w:right w:val="none" w:sz="0" w:space="0" w:color="auto"/>
      </w:divBdr>
    </w:div>
    <w:div w:id="359936663">
      <w:bodyDiv w:val="1"/>
      <w:marLeft w:val="0"/>
      <w:marRight w:val="0"/>
      <w:marTop w:val="0"/>
      <w:marBottom w:val="0"/>
      <w:divBdr>
        <w:top w:val="none" w:sz="0" w:space="0" w:color="auto"/>
        <w:left w:val="none" w:sz="0" w:space="0" w:color="auto"/>
        <w:bottom w:val="none" w:sz="0" w:space="0" w:color="auto"/>
        <w:right w:val="none" w:sz="0" w:space="0" w:color="auto"/>
      </w:divBdr>
    </w:div>
    <w:div w:id="455030179">
      <w:bodyDiv w:val="1"/>
      <w:marLeft w:val="0"/>
      <w:marRight w:val="0"/>
      <w:marTop w:val="0"/>
      <w:marBottom w:val="0"/>
      <w:divBdr>
        <w:top w:val="none" w:sz="0" w:space="0" w:color="auto"/>
        <w:left w:val="none" w:sz="0" w:space="0" w:color="auto"/>
        <w:bottom w:val="none" w:sz="0" w:space="0" w:color="auto"/>
        <w:right w:val="none" w:sz="0" w:space="0" w:color="auto"/>
      </w:divBdr>
    </w:div>
    <w:div w:id="456333608">
      <w:bodyDiv w:val="1"/>
      <w:marLeft w:val="0"/>
      <w:marRight w:val="0"/>
      <w:marTop w:val="0"/>
      <w:marBottom w:val="0"/>
      <w:divBdr>
        <w:top w:val="none" w:sz="0" w:space="0" w:color="auto"/>
        <w:left w:val="none" w:sz="0" w:space="0" w:color="auto"/>
        <w:bottom w:val="none" w:sz="0" w:space="0" w:color="auto"/>
        <w:right w:val="none" w:sz="0" w:space="0" w:color="auto"/>
      </w:divBdr>
    </w:div>
    <w:div w:id="520050281">
      <w:bodyDiv w:val="1"/>
      <w:marLeft w:val="0"/>
      <w:marRight w:val="0"/>
      <w:marTop w:val="0"/>
      <w:marBottom w:val="0"/>
      <w:divBdr>
        <w:top w:val="none" w:sz="0" w:space="0" w:color="auto"/>
        <w:left w:val="none" w:sz="0" w:space="0" w:color="auto"/>
        <w:bottom w:val="none" w:sz="0" w:space="0" w:color="auto"/>
        <w:right w:val="none" w:sz="0" w:space="0" w:color="auto"/>
      </w:divBdr>
    </w:div>
    <w:div w:id="716126766">
      <w:bodyDiv w:val="1"/>
      <w:marLeft w:val="0"/>
      <w:marRight w:val="0"/>
      <w:marTop w:val="0"/>
      <w:marBottom w:val="0"/>
      <w:divBdr>
        <w:top w:val="none" w:sz="0" w:space="0" w:color="auto"/>
        <w:left w:val="none" w:sz="0" w:space="0" w:color="auto"/>
        <w:bottom w:val="none" w:sz="0" w:space="0" w:color="auto"/>
        <w:right w:val="none" w:sz="0" w:space="0" w:color="auto"/>
      </w:divBdr>
    </w:div>
    <w:div w:id="821122341">
      <w:bodyDiv w:val="1"/>
      <w:marLeft w:val="0"/>
      <w:marRight w:val="0"/>
      <w:marTop w:val="0"/>
      <w:marBottom w:val="0"/>
      <w:divBdr>
        <w:top w:val="none" w:sz="0" w:space="0" w:color="auto"/>
        <w:left w:val="none" w:sz="0" w:space="0" w:color="auto"/>
        <w:bottom w:val="none" w:sz="0" w:space="0" w:color="auto"/>
        <w:right w:val="none" w:sz="0" w:space="0" w:color="auto"/>
      </w:divBdr>
    </w:div>
    <w:div w:id="1133906869">
      <w:bodyDiv w:val="1"/>
      <w:marLeft w:val="0"/>
      <w:marRight w:val="0"/>
      <w:marTop w:val="0"/>
      <w:marBottom w:val="0"/>
      <w:divBdr>
        <w:top w:val="none" w:sz="0" w:space="0" w:color="auto"/>
        <w:left w:val="none" w:sz="0" w:space="0" w:color="auto"/>
        <w:bottom w:val="none" w:sz="0" w:space="0" w:color="auto"/>
        <w:right w:val="none" w:sz="0" w:space="0" w:color="auto"/>
      </w:divBdr>
    </w:div>
    <w:div w:id="1227567770">
      <w:bodyDiv w:val="1"/>
      <w:marLeft w:val="0"/>
      <w:marRight w:val="0"/>
      <w:marTop w:val="0"/>
      <w:marBottom w:val="0"/>
      <w:divBdr>
        <w:top w:val="none" w:sz="0" w:space="0" w:color="auto"/>
        <w:left w:val="none" w:sz="0" w:space="0" w:color="auto"/>
        <w:bottom w:val="none" w:sz="0" w:space="0" w:color="auto"/>
        <w:right w:val="none" w:sz="0" w:space="0" w:color="auto"/>
      </w:divBdr>
    </w:div>
    <w:div w:id="1255505830">
      <w:bodyDiv w:val="1"/>
      <w:marLeft w:val="0"/>
      <w:marRight w:val="0"/>
      <w:marTop w:val="0"/>
      <w:marBottom w:val="0"/>
      <w:divBdr>
        <w:top w:val="none" w:sz="0" w:space="0" w:color="auto"/>
        <w:left w:val="none" w:sz="0" w:space="0" w:color="auto"/>
        <w:bottom w:val="none" w:sz="0" w:space="0" w:color="auto"/>
        <w:right w:val="none" w:sz="0" w:space="0" w:color="auto"/>
      </w:divBdr>
    </w:div>
    <w:div w:id="1500732861">
      <w:bodyDiv w:val="1"/>
      <w:marLeft w:val="0"/>
      <w:marRight w:val="0"/>
      <w:marTop w:val="0"/>
      <w:marBottom w:val="0"/>
      <w:divBdr>
        <w:top w:val="none" w:sz="0" w:space="0" w:color="auto"/>
        <w:left w:val="none" w:sz="0" w:space="0" w:color="auto"/>
        <w:bottom w:val="none" w:sz="0" w:space="0" w:color="auto"/>
        <w:right w:val="none" w:sz="0" w:space="0" w:color="auto"/>
      </w:divBdr>
    </w:div>
    <w:div w:id="1558397232">
      <w:bodyDiv w:val="1"/>
      <w:marLeft w:val="0"/>
      <w:marRight w:val="0"/>
      <w:marTop w:val="0"/>
      <w:marBottom w:val="0"/>
      <w:divBdr>
        <w:top w:val="none" w:sz="0" w:space="0" w:color="auto"/>
        <w:left w:val="none" w:sz="0" w:space="0" w:color="auto"/>
        <w:bottom w:val="none" w:sz="0" w:space="0" w:color="auto"/>
        <w:right w:val="none" w:sz="0" w:space="0" w:color="auto"/>
      </w:divBdr>
    </w:div>
    <w:div w:id="1614481824">
      <w:bodyDiv w:val="1"/>
      <w:marLeft w:val="0"/>
      <w:marRight w:val="0"/>
      <w:marTop w:val="0"/>
      <w:marBottom w:val="0"/>
      <w:divBdr>
        <w:top w:val="none" w:sz="0" w:space="0" w:color="auto"/>
        <w:left w:val="none" w:sz="0" w:space="0" w:color="auto"/>
        <w:bottom w:val="none" w:sz="0" w:space="0" w:color="auto"/>
        <w:right w:val="none" w:sz="0" w:space="0" w:color="auto"/>
      </w:divBdr>
    </w:div>
    <w:div w:id="1692030454">
      <w:bodyDiv w:val="1"/>
      <w:marLeft w:val="0"/>
      <w:marRight w:val="0"/>
      <w:marTop w:val="0"/>
      <w:marBottom w:val="0"/>
      <w:divBdr>
        <w:top w:val="none" w:sz="0" w:space="0" w:color="auto"/>
        <w:left w:val="none" w:sz="0" w:space="0" w:color="auto"/>
        <w:bottom w:val="none" w:sz="0" w:space="0" w:color="auto"/>
        <w:right w:val="none" w:sz="0" w:space="0" w:color="auto"/>
      </w:divBdr>
    </w:div>
    <w:div w:id="1980374382">
      <w:bodyDiv w:val="1"/>
      <w:marLeft w:val="0"/>
      <w:marRight w:val="0"/>
      <w:marTop w:val="0"/>
      <w:marBottom w:val="0"/>
      <w:divBdr>
        <w:top w:val="none" w:sz="0" w:space="0" w:color="auto"/>
        <w:left w:val="none" w:sz="0" w:space="0" w:color="auto"/>
        <w:bottom w:val="none" w:sz="0" w:space="0" w:color="auto"/>
        <w:right w:val="none" w:sz="0" w:space="0" w:color="auto"/>
      </w:divBdr>
    </w:div>
    <w:div w:id="199074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corbin@liverpool.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D82BD-D8B0-4B1A-BE2E-49FC5E355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Corbin, Rosie</dc:creator>
  <cp:keywords/>
  <dc:description/>
  <cp:lastModifiedBy>Ferguson, Joseph [jojo96]</cp:lastModifiedBy>
  <cp:revision>2</cp:revision>
  <dcterms:created xsi:type="dcterms:W3CDTF">2021-11-04T17:01:00Z</dcterms:created>
  <dcterms:modified xsi:type="dcterms:W3CDTF">2021-11-04T17:01:00Z</dcterms:modified>
</cp:coreProperties>
</file>