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CB" w:rsidRDefault="004747CB">
      <w:pPr>
        <w:rPr>
          <w:sz w:val="32"/>
          <w:szCs w:val="32"/>
        </w:rPr>
      </w:pPr>
      <w:bookmarkStart w:id="0" w:name="_GoBack"/>
      <w:bookmarkEnd w:id="0"/>
    </w:p>
    <w:p w:rsidR="00037427" w:rsidRPr="00037427" w:rsidRDefault="00037427">
      <w:pPr>
        <w:rPr>
          <w:sz w:val="32"/>
          <w:szCs w:val="32"/>
        </w:rPr>
      </w:pPr>
      <w:r w:rsidRPr="00037427">
        <w:rPr>
          <w:sz w:val="32"/>
          <w:szCs w:val="32"/>
        </w:rPr>
        <w:t xml:space="preserve">Brief Guide </w:t>
      </w:r>
      <w:r w:rsidR="00572F31">
        <w:rPr>
          <w:sz w:val="32"/>
          <w:szCs w:val="32"/>
        </w:rPr>
        <w:t>to</w:t>
      </w:r>
      <w:r w:rsidRPr="00037427">
        <w:rPr>
          <w:sz w:val="32"/>
          <w:szCs w:val="32"/>
        </w:rPr>
        <w:t xml:space="preserve"> Learning Outcomes</w:t>
      </w:r>
    </w:p>
    <w:p w:rsidR="00037427" w:rsidRPr="00037427" w:rsidRDefault="00037427">
      <w:pPr>
        <w:rPr>
          <w:b/>
        </w:rPr>
      </w:pPr>
      <w:r w:rsidRPr="00037427">
        <w:rPr>
          <w:b/>
        </w:rPr>
        <w:t>Introduction</w:t>
      </w:r>
    </w:p>
    <w:p w:rsidR="00037427" w:rsidRDefault="00037427">
      <w:r>
        <w:t>At module level, learning outcomes describe what a student should be able to do</w:t>
      </w:r>
      <w:r w:rsidR="00EE102E">
        <w:t xml:space="preserve"> or </w:t>
      </w:r>
      <w:r>
        <w:t xml:space="preserve">achieve at the end of that module. This process shifts attention from content (teacher centred approach) to student achievement and ability on successful completion of a module (student centred approach). As a result, learning outcomes are considered a </w:t>
      </w:r>
      <w:r w:rsidR="00410781">
        <w:t>helpful</w:t>
      </w:r>
      <w:r>
        <w:t xml:space="preserve"> arrangement in terms of: </w:t>
      </w:r>
    </w:p>
    <w:p w:rsidR="00037427" w:rsidRDefault="00037427" w:rsidP="00037427">
      <w:pPr>
        <w:pStyle w:val="ListParagraph"/>
        <w:numPr>
          <w:ilvl w:val="0"/>
          <w:numId w:val="1"/>
        </w:numPr>
      </w:pPr>
      <w:r>
        <w:t>Communicating the purpose a module is intending</w:t>
      </w:r>
      <w:r w:rsidR="00450507">
        <w:t xml:space="preserve"> to accomplish</w:t>
      </w:r>
    </w:p>
    <w:p w:rsidR="00450507" w:rsidRDefault="00450507" w:rsidP="00037427">
      <w:pPr>
        <w:pStyle w:val="ListParagraph"/>
        <w:numPr>
          <w:ilvl w:val="0"/>
          <w:numId w:val="1"/>
        </w:numPr>
      </w:pPr>
      <w:r>
        <w:t>Making explicit what is expected of the student</w:t>
      </w:r>
    </w:p>
    <w:p w:rsidR="00450507" w:rsidRDefault="00B03EC9" w:rsidP="00037427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3997960</wp:posOffset>
            </wp:positionH>
            <wp:positionV relativeFrom="margin">
              <wp:posOffset>2494280</wp:posOffset>
            </wp:positionV>
            <wp:extent cx="1895475" cy="1104265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226B">
        <w:t>Specifying the minimum acceptable standard for passing a module (threshold level)</w:t>
      </w:r>
    </w:p>
    <w:p w:rsidR="0045671F" w:rsidRDefault="00EE102E">
      <w:pPr>
        <w:rPr>
          <w:b/>
        </w:rPr>
      </w:pPr>
      <w:r>
        <w:t>Moving on a step further, i</w:t>
      </w:r>
      <w:r w:rsidR="0083226B">
        <w:t>t is essential to ensure that assessment tasks associated with a module are designed to fulfil the learning outcomes of that module. Every learning outcome must be assessed</w:t>
      </w:r>
      <w:r w:rsidR="00B20E05">
        <w:t xml:space="preserve"> and should </w:t>
      </w:r>
      <w:r w:rsidR="0042346F">
        <w:t xml:space="preserve">be </w:t>
      </w:r>
      <w:r w:rsidR="00581A1A">
        <w:t>fulfilled through the</w:t>
      </w:r>
      <w:r w:rsidR="0083226B">
        <w:t xml:space="preserve"> </w:t>
      </w:r>
      <w:r w:rsidR="007B1DFD">
        <w:t xml:space="preserve">learning and </w:t>
      </w:r>
      <w:r w:rsidR="0083226B">
        <w:t>teaching</w:t>
      </w:r>
      <w:r w:rsidR="0045671F">
        <w:t xml:space="preserve"> </w:t>
      </w:r>
      <w:r w:rsidR="0083226B">
        <w:t>methods used during the delivery of the module content. This concept is known as “Constructive alignment” (Biggs, 2003)</w:t>
      </w:r>
    </w:p>
    <w:p w:rsidR="0045671F" w:rsidRDefault="004D25B3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95pt;margin-top:1.65pt;width:149.3pt;height:21pt;z-index:251660288" stroked="f">
            <v:textbox style="mso-fit-shape-to-text:t" inset="0,0,0,0">
              <w:txbxContent>
                <w:p w:rsidR="0045671F" w:rsidRPr="007B1DFD" w:rsidRDefault="0045671F" w:rsidP="0045671F">
                  <w:pPr>
                    <w:pStyle w:val="Caption"/>
                    <w:rPr>
                      <w:noProof/>
                      <w:color w:val="auto"/>
                    </w:rPr>
                  </w:pPr>
                  <w:proofErr w:type="gramStart"/>
                  <w:r w:rsidRPr="007B1DFD">
                    <w:rPr>
                      <w:color w:val="auto"/>
                    </w:rPr>
                    <w:t xml:space="preserve">Figure </w:t>
                  </w:r>
                  <w:r w:rsidR="00A4212A" w:rsidRPr="007B1DFD">
                    <w:rPr>
                      <w:color w:val="auto"/>
                    </w:rPr>
                    <w:fldChar w:fldCharType="begin"/>
                  </w:r>
                  <w:r w:rsidRPr="007B1DFD">
                    <w:rPr>
                      <w:color w:val="auto"/>
                    </w:rPr>
                    <w:instrText xml:space="preserve"> SEQ Figure \* ARABIC </w:instrText>
                  </w:r>
                  <w:r w:rsidR="00A4212A" w:rsidRPr="007B1DFD">
                    <w:rPr>
                      <w:color w:val="auto"/>
                    </w:rPr>
                    <w:fldChar w:fldCharType="separate"/>
                  </w:r>
                  <w:r w:rsidR="004747CB">
                    <w:rPr>
                      <w:noProof/>
                      <w:color w:val="auto"/>
                    </w:rPr>
                    <w:t>1</w:t>
                  </w:r>
                  <w:r w:rsidR="00A4212A" w:rsidRPr="007B1DFD">
                    <w:rPr>
                      <w:color w:val="auto"/>
                    </w:rPr>
                    <w:fldChar w:fldCharType="end"/>
                  </w:r>
                  <w:r w:rsidRPr="007B1DFD">
                    <w:rPr>
                      <w:color w:val="auto"/>
                    </w:rPr>
                    <w:t>.</w:t>
                  </w:r>
                  <w:proofErr w:type="gramEnd"/>
                  <w:r w:rsidRPr="007B1DFD">
                    <w:rPr>
                      <w:color w:val="auto"/>
                    </w:rPr>
                    <w:t xml:space="preserve"> Constructive Alignment</w:t>
                  </w:r>
                </w:p>
              </w:txbxContent>
            </v:textbox>
            <w10:wrap type="square"/>
          </v:shape>
        </w:pict>
      </w:r>
    </w:p>
    <w:p w:rsidR="003D1C67" w:rsidRPr="00037427" w:rsidRDefault="00037427">
      <w:pPr>
        <w:rPr>
          <w:b/>
        </w:rPr>
      </w:pPr>
      <w:r w:rsidRPr="00037427">
        <w:rPr>
          <w:b/>
        </w:rPr>
        <w:t>Writing Learning Outcomes:</w:t>
      </w:r>
      <w:r w:rsidR="0045671F">
        <w:rPr>
          <w:b/>
        </w:rPr>
        <w:t xml:space="preserve"> </w:t>
      </w:r>
    </w:p>
    <w:p w:rsidR="00037427" w:rsidRDefault="00336E54">
      <w:r>
        <w:t>This is a</w:t>
      </w:r>
      <w:r w:rsidR="00037427">
        <w:t xml:space="preserve"> challenging task that requires particular attention as it can influence the effectiveness of </w:t>
      </w:r>
      <w:r w:rsidR="00B95F6C">
        <w:t xml:space="preserve">the </w:t>
      </w:r>
      <w:r w:rsidR="00037427">
        <w:t>learning</w:t>
      </w:r>
      <w:r w:rsidR="00B95F6C">
        <w:t xml:space="preserve"> experience</w:t>
      </w:r>
      <w:r w:rsidR="00037427">
        <w:t xml:space="preserve"> of students in a module.</w:t>
      </w:r>
      <w:r w:rsidR="00E56036">
        <w:t xml:space="preserve"> Good practice for </w:t>
      </w:r>
      <w:r w:rsidR="00B95F6C">
        <w:t>writing clear</w:t>
      </w:r>
      <w:r w:rsidR="00E56036">
        <w:t xml:space="preserve"> learning outcomes recommends the use of the following </w:t>
      </w:r>
      <w:r w:rsidR="00B95F6C">
        <w:t>four</w:t>
      </w:r>
      <w:r w:rsidR="00E56036">
        <w:t xml:space="preserve"> components:</w:t>
      </w:r>
    </w:p>
    <w:p w:rsidR="00225762" w:rsidRDefault="00410781" w:rsidP="00E56036">
      <w:pPr>
        <w:pStyle w:val="ListParagraph"/>
        <w:numPr>
          <w:ilvl w:val="0"/>
          <w:numId w:val="2"/>
        </w:numPr>
      </w:pPr>
      <w:r>
        <w:t xml:space="preserve">Introduce the Learning Outcome using </w:t>
      </w:r>
      <w:r w:rsidR="00225762">
        <w:t>the following expression: “</w:t>
      </w:r>
      <w:r w:rsidR="00225762">
        <w:rPr>
          <w:i/>
        </w:rPr>
        <w:t>at the end of this module/course you should be able to ...</w:t>
      </w:r>
      <w:r w:rsidR="00225762">
        <w:t>”</w:t>
      </w:r>
    </w:p>
    <w:p w:rsidR="00E56036" w:rsidRDefault="00EE102E" w:rsidP="00E56036">
      <w:pPr>
        <w:pStyle w:val="ListParagraph"/>
        <w:numPr>
          <w:ilvl w:val="0"/>
          <w:numId w:val="2"/>
        </w:numPr>
      </w:pPr>
      <w:r>
        <w:t>Then u</w:t>
      </w:r>
      <w:r w:rsidR="00225762">
        <w:t>se an active</w:t>
      </w:r>
      <w:r w:rsidR="00E56036">
        <w:t xml:space="preserve"> verb that indicates what the </w:t>
      </w:r>
      <w:r w:rsidR="00410781">
        <w:t>student</w:t>
      </w:r>
      <w:r w:rsidR="00E56036">
        <w:t xml:space="preserve"> is expected to be able to do at the end of the period of learning</w:t>
      </w:r>
      <w:r w:rsidR="00920AD3">
        <w:t xml:space="preserve"> (</w:t>
      </w:r>
      <w:r w:rsidR="00920AD3" w:rsidRPr="00920AD3">
        <w:rPr>
          <w:color w:val="FF0000"/>
        </w:rPr>
        <w:t>see red text in example</w:t>
      </w:r>
      <w:r w:rsidR="00B95F6C">
        <w:rPr>
          <w:color w:val="FF0000"/>
        </w:rPr>
        <w:t>s</w:t>
      </w:r>
      <w:r w:rsidR="00920AD3" w:rsidRPr="00920AD3">
        <w:rPr>
          <w:color w:val="FF0000"/>
        </w:rPr>
        <w:t xml:space="preserve"> below</w:t>
      </w:r>
      <w:r w:rsidR="00920AD3">
        <w:t>)</w:t>
      </w:r>
    </w:p>
    <w:p w:rsidR="00E56036" w:rsidRDefault="00EE102E" w:rsidP="00E56036">
      <w:pPr>
        <w:pStyle w:val="ListParagraph"/>
        <w:numPr>
          <w:ilvl w:val="0"/>
          <w:numId w:val="2"/>
        </w:numPr>
      </w:pPr>
      <w:r>
        <w:t>Next, p</w:t>
      </w:r>
      <w:r w:rsidR="00225762">
        <w:t>rovide a few</w:t>
      </w:r>
      <w:r w:rsidR="00E56036">
        <w:t xml:space="preserve"> words that indicate on what or w</w:t>
      </w:r>
      <w:r w:rsidR="0038617F">
        <w:t xml:space="preserve">ith what the </w:t>
      </w:r>
      <w:r w:rsidR="00410781">
        <w:t>student</w:t>
      </w:r>
      <w:r w:rsidR="0038617F">
        <w:t xml:space="preserve"> is acting </w:t>
      </w:r>
      <w:r w:rsidR="00920AD3">
        <w:t>(</w:t>
      </w:r>
      <w:r w:rsidR="00920AD3" w:rsidRPr="00920AD3">
        <w:rPr>
          <w:color w:val="00B050"/>
        </w:rPr>
        <w:t xml:space="preserve">see </w:t>
      </w:r>
      <w:r w:rsidR="00920AD3">
        <w:rPr>
          <w:color w:val="00B050"/>
        </w:rPr>
        <w:t>green</w:t>
      </w:r>
      <w:r w:rsidR="00920AD3" w:rsidRPr="00920AD3">
        <w:rPr>
          <w:color w:val="00B050"/>
        </w:rPr>
        <w:t xml:space="preserve"> text in example below)</w:t>
      </w:r>
    </w:p>
    <w:p w:rsidR="00E56036" w:rsidRDefault="00EE102E" w:rsidP="00E56036">
      <w:pPr>
        <w:pStyle w:val="ListParagraph"/>
        <w:numPr>
          <w:ilvl w:val="0"/>
          <w:numId w:val="2"/>
        </w:numPr>
      </w:pPr>
      <w:r>
        <w:t>Finally and i</w:t>
      </w:r>
      <w:r w:rsidR="00951050">
        <w:t xml:space="preserve">f necessary, </w:t>
      </w:r>
      <w:r w:rsidR="00B95F6C">
        <w:t>add brief text</w:t>
      </w:r>
      <w:r w:rsidR="00E56036">
        <w:t xml:space="preserve"> </w:t>
      </w:r>
      <w:r w:rsidR="00B95F6C">
        <w:t>to</w:t>
      </w:r>
      <w:r w:rsidR="00E56036">
        <w:t xml:space="preserve"> indicate the nature of the performance required as evidence that the learning was achieved</w:t>
      </w:r>
      <w:r w:rsidR="00920AD3">
        <w:t xml:space="preserve"> (</w:t>
      </w:r>
      <w:r w:rsidR="00920AD3" w:rsidRPr="00920AD3">
        <w:rPr>
          <w:color w:val="0070C0"/>
        </w:rPr>
        <w:t>see blue text in example below</w:t>
      </w:r>
      <w:r w:rsidR="00920AD3">
        <w:t>)</w:t>
      </w:r>
    </w:p>
    <w:p w:rsidR="002551D0" w:rsidRDefault="00225762">
      <w:r>
        <w:t>Some examples</w:t>
      </w:r>
      <w:r w:rsidR="002551D0">
        <w:t xml:space="preserve">: </w:t>
      </w:r>
    </w:p>
    <w:p w:rsidR="00225762" w:rsidRDefault="00225762">
      <w:r>
        <w:t>At the end of this module/course you should be able to</w:t>
      </w:r>
    </w:p>
    <w:p w:rsidR="002551D0" w:rsidRPr="003747E8" w:rsidRDefault="003747E8" w:rsidP="003747E8">
      <w:pPr>
        <w:pStyle w:val="ListParagraph"/>
        <w:numPr>
          <w:ilvl w:val="0"/>
          <w:numId w:val="5"/>
        </w:numPr>
      </w:pPr>
      <w:r w:rsidRPr="003747E8">
        <w:rPr>
          <w:color w:val="FF0000"/>
        </w:rPr>
        <w:t>Define</w:t>
      </w:r>
      <w:r>
        <w:t xml:space="preserve"> the terms </w:t>
      </w:r>
      <w:r w:rsidRPr="003747E8">
        <w:rPr>
          <w:color w:val="00B050"/>
        </w:rPr>
        <w:t>wavelength, frequency, amplitude</w:t>
      </w:r>
      <w:r>
        <w:t xml:space="preserve"> and </w:t>
      </w:r>
      <w:r w:rsidRPr="003747E8">
        <w:rPr>
          <w:color w:val="00B050"/>
        </w:rPr>
        <w:t>node</w:t>
      </w:r>
    </w:p>
    <w:p w:rsidR="003747E8" w:rsidRPr="003747E8" w:rsidRDefault="003747E8" w:rsidP="003747E8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Describe </w:t>
      </w:r>
      <w:r w:rsidRPr="003747E8">
        <w:rPr>
          <w:color w:val="000000" w:themeColor="text1"/>
        </w:rPr>
        <w:t>the</w:t>
      </w:r>
      <w:r>
        <w:rPr>
          <w:color w:val="FF0000"/>
        </w:rPr>
        <w:t xml:space="preserve"> </w:t>
      </w:r>
      <w:r w:rsidRPr="003747E8">
        <w:rPr>
          <w:color w:val="00B050"/>
        </w:rPr>
        <w:t>Bohr model of the atom</w:t>
      </w:r>
      <w:r>
        <w:rPr>
          <w:color w:val="FF0000"/>
        </w:rPr>
        <w:t xml:space="preserve"> </w:t>
      </w:r>
      <w:r w:rsidRPr="003747E8">
        <w:rPr>
          <w:color w:val="000000" w:themeColor="text1"/>
        </w:rPr>
        <w:t>and</w:t>
      </w:r>
      <w:r>
        <w:rPr>
          <w:color w:val="FF0000"/>
        </w:rPr>
        <w:t xml:space="preserve"> </w:t>
      </w:r>
      <w:r w:rsidRPr="003747E8">
        <w:rPr>
          <w:color w:val="0070C0"/>
        </w:rPr>
        <w:t>use</w:t>
      </w:r>
      <w:r w:rsidR="00456E76">
        <w:rPr>
          <w:color w:val="0070C0"/>
        </w:rPr>
        <w:t xml:space="preserve"> it to account for the emission </w:t>
      </w:r>
      <w:r w:rsidRPr="003747E8">
        <w:rPr>
          <w:color w:val="0070C0"/>
        </w:rPr>
        <w:t>line spectra of the H atom</w:t>
      </w:r>
    </w:p>
    <w:p w:rsidR="003747E8" w:rsidRPr="00CB738E" w:rsidRDefault="001A5DAF" w:rsidP="003747E8">
      <w:pPr>
        <w:pStyle w:val="ListParagraph"/>
        <w:numPr>
          <w:ilvl w:val="0"/>
          <w:numId w:val="5"/>
        </w:numPr>
      </w:pPr>
      <w:r w:rsidRPr="001A5DAF">
        <w:rPr>
          <w:color w:val="FF0000"/>
        </w:rPr>
        <w:t>Apply</w:t>
      </w:r>
      <w:r>
        <w:rPr>
          <w:color w:val="000000" w:themeColor="text1"/>
        </w:rPr>
        <w:t xml:space="preserve"> the </w:t>
      </w:r>
      <w:r w:rsidRPr="001A5DAF">
        <w:rPr>
          <w:color w:val="00B050"/>
        </w:rPr>
        <w:t>techniques of multivariate analysis</w:t>
      </w:r>
      <w:r>
        <w:rPr>
          <w:color w:val="000000" w:themeColor="text1"/>
        </w:rPr>
        <w:t xml:space="preserve"> in order to be able to </w:t>
      </w:r>
      <w:r w:rsidRPr="00CB738E">
        <w:rPr>
          <w:color w:val="0070C0"/>
        </w:rPr>
        <w:t>handle straightforward multivariate data sets in practice</w:t>
      </w:r>
    </w:p>
    <w:p w:rsidR="00CB738E" w:rsidRPr="00A13A46" w:rsidRDefault="00CB738E" w:rsidP="003747E8">
      <w:pPr>
        <w:pStyle w:val="ListParagraph"/>
        <w:numPr>
          <w:ilvl w:val="0"/>
          <w:numId w:val="5"/>
        </w:numPr>
      </w:pPr>
      <w:r>
        <w:rPr>
          <w:color w:val="FF0000"/>
        </w:rPr>
        <w:lastRenderedPageBreak/>
        <w:t>Appraise</w:t>
      </w:r>
      <w:r>
        <w:rPr>
          <w:color w:val="000000" w:themeColor="text1"/>
        </w:rPr>
        <w:t xml:space="preserve"> any </w:t>
      </w:r>
      <w:r w:rsidRPr="00CB738E">
        <w:rPr>
          <w:color w:val="00B050"/>
        </w:rPr>
        <w:t>risks or safety aspects</w:t>
      </w:r>
      <w:r>
        <w:rPr>
          <w:color w:val="000000" w:themeColor="text1"/>
        </w:rPr>
        <w:t xml:space="preserve"> that may be </w:t>
      </w:r>
      <w:r w:rsidRPr="00CB738E">
        <w:rPr>
          <w:color w:val="0070C0"/>
        </w:rPr>
        <w:t>involved in the operation of computing equipment within a given context</w:t>
      </w:r>
    </w:p>
    <w:p w:rsidR="00A13A46" w:rsidRDefault="00A13A46" w:rsidP="003747E8">
      <w:pPr>
        <w:pStyle w:val="ListParagraph"/>
        <w:numPr>
          <w:ilvl w:val="0"/>
          <w:numId w:val="5"/>
        </w:numPr>
      </w:pPr>
      <w:r w:rsidRPr="00F40BD6">
        <w:rPr>
          <w:color w:val="FF0000"/>
        </w:rPr>
        <w:t>Demonstrate</w:t>
      </w:r>
      <w:r w:rsidRPr="00A13A46">
        <w:t xml:space="preserve"> how </w:t>
      </w:r>
      <w:r w:rsidRPr="00A13A46">
        <w:rPr>
          <w:color w:val="00B050"/>
        </w:rPr>
        <w:t>magma geochemistry relates to partial melting of the mantle</w:t>
      </w:r>
      <w:r w:rsidRPr="00A13A46">
        <w:t xml:space="preserve"> by </w:t>
      </w:r>
      <w:r w:rsidRPr="00A13A46">
        <w:rPr>
          <w:color w:val="0070C0"/>
        </w:rPr>
        <w:t>contrasting the outcomes of this process in different tectonic regimes through the critical analysis of specific case studies</w:t>
      </w:r>
      <w:r w:rsidRPr="00A13A46">
        <w:t>.</w:t>
      </w:r>
    </w:p>
    <w:p w:rsidR="00F40BD6" w:rsidRDefault="00F40BD6" w:rsidP="003747E8">
      <w:pPr>
        <w:pStyle w:val="ListParagraph"/>
        <w:numPr>
          <w:ilvl w:val="0"/>
          <w:numId w:val="5"/>
        </w:numPr>
      </w:pPr>
      <w:r w:rsidRPr="00F40BD6">
        <w:rPr>
          <w:color w:val="FF0000"/>
        </w:rPr>
        <w:t>Apply</w:t>
      </w:r>
      <w:r w:rsidRPr="00F40BD6">
        <w:t xml:space="preserve"> the </w:t>
      </w:r>
      <w:r w:rsidRPr="00F40BD6">
        <w:rPr>
          <w:color w:val="00B050"/>
        </w:rPr>
        <w:t xml:space="preserve">principles underpinning the use of computer graphics in the design of user-friendly </w:t>
      </w:r>
      <w:r w:rsidR="004D2723">
        <w:rPr>
          <w:color w:val="00B050"/>
        </w:rPr>
        <w:t>interfaces</w:t>
      </w:r>
    </w:p>
    <w:p w:rsidR="00037427" w:rsidRDefault="00CA7B19">
      <w:r>
        <w:t xml:space="preserve">Below you can find </w:t>
      </w:r>
      <w:r w:rsidRPr="00640704">
        <w:rPr>
          <w:i/>
        </w:rPr>
        <w:t>some</w:t>
      </w:r>
      <w:r>
        <w:t xml:space="preserve"> suggestions for </w:t>
      </w:r>
      <w:r w:rsidR="00EE102E">
        <w:t xml:space="preserve">active </w:t>
      </w:r>
      <w:r>
        <w:t xml:space="preserve">verbs </w:t>
      </w:r>
      <w:r w:rsidR="00B95F6C">
        <w:t>(</w:t>
      </w:r>
      <w:r w:rsidR="00B95F6C" w:rsidRPr="00B95F6C">
        <w:rPr>
          <w:color w:val="FF0000"/>
        </w:rPr>
        <w:t>red part of the LO</w:t>
      </w:r>
      <w:r w:rsidR="00B95F6C">
        <w:t xml:space="preserve">) </w:t>
      </w:r>
      <w:r w:rsidR="00A766C0">
        <w:t xml:space="preserve">you may want to use </w:t>
      </w:r>
      <w:r w:rsidR="0038617F">
        <w:t>when you</w:t>
      </w:r>
      <w:r>
        <w:t xml:space="preserve"> </w:t>
      </w:r>
      <w:r w:rsidR="00B2633D">
        <w:t>writ</w:t>
      </w:r>
      <w:r>
        <w:t>e</w:t>
      </w:r>
      <w:r w:rsidR="00B2633D">
        <w:t xml:space="preserve"> </w:t>
      </w:r>
      <w:r w:rsidR="0038617F">
        <w:t xml:space="preserve">your module’s </w:t>
      </w:r>
      <w:r w:rsidR="00B2633D">
        <w:t>learning outcomes</w:t>
      </w:r>
      <w:r w:rsidR="00640704">
        <w:t xml:space="preserve"> (a more complete list of verbs can be found at J. Moon, 200</w:t>
      </w:r>
      <w:r w:rsidR="006C3700">
        <w:t>2 book – see reference list</w:t>
      </w:r>
      <w:r w:rsidR="00E22A57">
        <w:t xml:space="preserve">, </w:t>
      </w:r>
      <w:r w:rsidR="006C3700">
        <w:t xml:space="preserve">or search for </w:t>
      </w:r>
      <w:r w:rsidR="006C3700" w:rsidRPr="00921514">
        <w:rPr>
          <w:i/>
        </w:rPr>
        <w:t>Bloom’s taxonomy verbs</w:t>
      </w:r>
      <w:r w:rsidR="00E22A57">
        <w:t xml:space="preserve"> on the web</w:t>
      </w:r>
      <w:r w:rsidR="00640704">
        <w:t>)</w:t>
      </w:r>
      <w:r w:rsidR="0038617F">
        <w:t>:</w:t>
      </w:r>
    </w:p>
    <w:p w:rsidR="006332AD" w:rsidRDefault="00B2633D" w:rsidP="002B0055">
      <w:pPr>
        <w:pStyle w:val="ListParagraph"/>
        <w:numPr>
          <w:ilvl w:val="0"/>
          <w:numId w:val="4"/>
        </w:numPr>
        <w:ind w:left="142" w:hanging="142"/>
      </w:pPr>
      <w:r>
        <w:t xml:space="preserve">For activities giving </w:t>
      </w:r>
      <w:r w:rsidRPr="00407FB7">
        <w:rPr>
          <w:b/>
        </w:rPr>
        <w:t>evidence of knowing</w:t>
      </w:r>
      <w:r w:rsidR="00311F70">
        <w:t xml:space="preserve"> (</w:t>
      </w:r>
      <w:r w:rsidR="00311F70" w:rsidRPr="00407FB7">
        <w:rPr>
          <w:i/>
        </w:rPr>
        <w:t>what do you expect students to know?</w:t>
      </w:r>
      <w:r w:rsidR="00311F70">
        <w:t>)</w:t>
      </w:r>
      <w:r>
        <w:t>:</w:t>
      </w:r>
      <w:r w:rsidR="00D608AC">
        <w:t xml:space="preserve"> </w:t>
      </w:r>
    </w:p>
    <w:p w:rsidR="00311F70" w:rsidRPr="00FE2486" w:rsidRDefault="00311F70" w:rsidP="002B0055">
      <w:pPr>
        <w:pStyle w:val="ListParagraph"/>
        <w:numPr>
          <w:ilvl w:val="1"/>
          <w:numId w:val="4"/>
        </w:numPr>
        <w:spacing w:line="360" w:lineRule="auto"/>
        <w:ind w:left="568" w:hanging="284"/>
        <w:rPr>
          <w:sz w:val="20"/>
          <w:szCs w:val="20"/>
        </w:rPr>
      </w:pPr>
      <w:r w:rsidRPr="00FE2486">
        <w:rPr>
          <w:sz w:val="20"/>
          <w:szCs w:val="20"/>
        </w:rPr>
        <w:t>define; state; list; outline; recall; extract; write; describe; label; reproduce</w:t>
      </w:r>
    </w:p>
    <w:p w:rsidR="006332AD" w:rsidRDefault="00B2633D" w:rsidP="002B0055">
      <w:pPr>
        <w:pStyle w:val="ListParagraph"/>
        <w:numPr>
          <w:ilvl w:val="0"/>
          <w:numId w:val="4"/>
        </w:numPr>
        <w:ind w:left="142" w:hanging="142"/>
      </w:pPr>
      <w:r>
        <w:t xml:space="preserve">For activities giving </w:t>
      </w:r>
      <w:r w:rsidRPr="006332AD">
        <w:rPr>
          <w:b/>
        </w:rPr>
        <w:t>evidence of comprehension</w:t>
      </w:r>
      <w:r w:rsidR="00311F70">
        <w:t xml:space="preserve"> (</w:t>
      </w:r>
      <w:r w:rsidR="00311F70" w:rsidRPr="006332AD">
        <w:rPr>
          <w:i/>
        </w:rPr>
        <w:t>How do students convey what they have understood?</w:t>
      </w:r>
      <w:r w:rsidR="00311F70">
        <w:t>)</w:t>
      </w:r>
      <w:r>
        <w:t>:</w:t>
      </w:r>
    </w:p>
    <w:p w:rsidR="00407FB7" w:rsidRPr="00FE2486" w:rsidRDefault="00311F70" w:rsidP="002B0055">
      <w:pPr>
        <w:pStyle w:val="ListParagraph"/>
        <w:numPr>
          <w:ilvl w:val="1"/>
          <w:numId w:val="4"/>
        </w:numPr>
        <w:spacing w:line="360" w:lineRule="auto"/>
        <w:ind w:left="568" w:hanging="284"/>
        <w:rPr>
          <w:sz w:val="20"/>
          <w:szCs w:val="20"/>
        </w:rPr>
      </w:pPr>
      <w:r w:rsidRPr="00FE2486">
        <w:rPr>
          <w:sz w:val="20"/>
          <w:szCs w:val="20"/>
        </w:rPr>
        <w:t>explain; identify; discuss; describe; interpret; justify; compare; illustrate; estimate; paraphrase</w:t>
      </w:r>
    </w:p>
    <w:p w:rsidR="006332AD" w:rsidRDefault="00B2633D" w:rsidP="002B0055">
      <w:pPr>
        <w:pStyle w:val="ListParagraph"/>
        <w:numPr>
          <w:ilvl w:val="0"/>
          <w:numId w:val="4"/>
        </w:numPr>
        <w:ind w:left="142" w:hanging="142"/>
      </w:pPr>
      <w:r>
        <w:t xml:space="preserve">For activities giving </w:t>
      </w:r>
      <w:r w:rsidRPr="00407FB7">
        <w:rPr>
          <w:b/>
        </w:rPr>
        <w:t>evidence of knowledge/</w:t>
      </w:r>
      <w:r w:rsidR="00311F70" w:rsidRPr="00407FB7">
        <w:rPr>
          <w:b/>
        </w:rPr>
        <w:t>application</w:t>
      </w:r>
      <w:r w:rsidR="00311F70">
        <w:t xml:space="preserve"> (</w:t>
      </w:r>
      <w:r w:rsidR="00311F70" w:rsidRPr="00407FB7">
        <w:rPr>
          <w:i/>
        </w:rPr>
        <w:t>How do students use a theory or information in a new situation?</w:t>
      </w:r>
      <w:r w:rsidR="00311F70">
        <w:t>)</w:t>
      </w:r>
      <w:r>
        <w:t>:</w:t>
      </w:r>
    </w:p>
    <w:p w:rsidR="00311F70" w:rsidRPr="00FE2486" w:rsidRDefault="00311F70" w:rsidP="002B0055">
      <w:pPr>
        <w:pStyle w:val="ListParagraph"/>
        <w:numPr>
          <w:ilvl w:val="1"/>
          <w:numId w:val="4"/>
        </w:numPr>
        <w:spacing w:line="360" w:lineRule="auto"/>
        <w:ind w:left="568" w:hanging="284"/>
        <w:rPr>
          <w:sz w:val="20"/>
          <w:szCs w:val="20"/>
        </w:rPr>
      </w:pPr>
      <w:r w:rsidRPr="00FE2486">
        <w:rPr>
          <w:sz w:val="20"/>
          <w:szCs w:val="20"/>
        </w:rPr>
        <w:t>demonstrate; apply; operate; employ; illustrate;</w:t>
      </w:r>
      <w:r w:rsidR="001D4E0A" w:rsidRPr="00FE2486">
        <w:rPr>
          <w:sz w:val="20"/>
          <w:szCs w:val="20"/>
        </w:rPr>
        <w:t xml:space="preserve"> construct; produce; explain; verify; assess</w:t>
      </w:r>
    </w:p>
    <w:p w:rsidR="006332AD" w:rsidRDefault="00B2633D" w:rsidP="002B0055">
      <w:pPr>
        <w:pStyle w:val="ListParagraph"/>
        <w:numPr>
          <w:ilvl w:val="0"/>
          <w:numId w:val="4"/>
        </w:numPr>
        <w:ind w:left="142" w:hanging="142"/>
      </w:pPr>
      <w:r>
        <w:t xml:space="preserve">For activities giving </w:t>
      </w:r>
      <w:r w:rsidRPr="00407FB7">
        <w:rPr>
          <w:b/>
        </w:rPr>
        <w:t>evidence of analysis</w:t>
      </w:r>
      <w:r w:rsidR="000D7BD9">
        <w:t xml:space="preserve"> (</w:t>
      </w:r>
      <w:r w:rsidR="000D7BD9" w:rsidRPr="00407FB7">
        <w:rPr>
          <w:i/>
        </w:rPr>
        <w:t>How do students break down material and ideas into constituent parts to show how they relate to each other and how they are organised?</w:t>
      </w:r>
      <w:r w:rsidR="000D7BD9">
        <w:t>)</w:t>
      </w:r>
      <w:r>
        <w:t>:</w:t>
      </w:r>
    </w:p>
    <w:p w:rsidR="000D7BD9" w:rsidRPr="00FE2486" w:rsidRDefault="00CA7B19" w:rsidP="002B0055">
      <w:pPr>
        <w:pStyle w:val="ListParagraph"/>
        <w:numPr>
          <w:ilvl w:val="1"/>
          <w:numId w:val="4"/>
        </w:numPr>
        <w:spacing w:line="360" w:lineRule="auto"/>
        <w:ind w:left="568" w:hanging="284"/>
        <w:rPr>
          <w:sz w:val="20"/>
          <w:szCs w:val="20"/>
        </w:rPr>
      </w:pPr>
      <w:r w:rsidRPr="00FE2486">
        <w:rPr>
          <w:sz w:val="20"/>
          <w:szCs w:val="20"/>
        </w:rPr>
        <w:t>distinguish; appraise; debate; solve; examine; investigate; calculate; analyse; criticise; compare</w:t>
      </w:r>
    </w:p>
    <w:p w:rsidR="006332AD" w:rsidRDefault="00B2633D" w:rsidP="002B0055">
      <w:pPr>
        <w:pStyle w:val="ListParagraph"/>
        <w:numPr>
          <w:ilvl w:val="0"/>
          <w:numId w:val="4"/>
        </w:numPr>
        <w:ind w:left="142" w:hanging="142"/>
      </w:pPr>
      <w:r>
        <w:t xml:space="preserve">For activities giving </w:t>
      </w:r>
      <w:r w:rsidRPr="00407FB7">
        <w:rPr>
          <w:b/>
        </w:rPr>
        <w:t>evidence of synthesis</w:t>
      </w:r>
      <w:r w:rsidR="00CA7B19">
        <w:t xml:space="preserve"> (</w:t>
      </w:r>
      <w:r w:rsidR="00CA7B19" w:rsidRPr="00407FB7">
        <w:rPr>
          <w:i/>
        </w:rPr>
        <w:t>How do students work with elements and combine them in a way that was not there before?</w:t>
      </w:r>
      <w:r w:rsidR="00CA7B19">
        <w:t>)</w:t>
      </w:r>
      <w:r>
        <w:t>:</w:t>
      </w:r>
    </w:p>
    <w:p w:rsidR="00CA7B19" w:rsidRPr="00FE2486" w:rsidRDefault="00CA7B19" w:rsidP="002B0055">
      <w:pPr>
        <w:pStyle w:val="ListParagraph"/>
        <w:numPr>
          <w:ilvl w:val="1"/>
          <w:numId w:val="4"/>
        </w:numPr>
        <w:spacing w:line="360" w:lineRule="auto"/>
        <w:ind w:left="568" w:hanging="284"/>
        <w:rPr>
          <w:sz w:val="20"/>
          <w:szCs w:val="20"/>
        </w:rPr>
      </w:pPr>
      <w:r w:rsidRPr="00FE2486">
        <w:rPr>
          <w:sz w:val="20"/>
          <w:szCs w:val="20"/>
        </w:rPr>
        <w:t>propose; formulate; teach; compile; devise; design; relate; summarise; argue; manage</w:t>
      </w:r>
    </w:p>
    <w:p w:rsidR="006332AD" w:rsidRDefault="00B2633D" w:rsidP="002B0055">
      <w:pPr>
        <w:pStyle w:val="ListParagraph"/>
        <w:numPr>
          <w:ilvl w:val="0"/>
          <w:numId w:val="4"/>
        </w:numPr>
        <w:ind w:left="142" w:hanging="142"/>
      </w:pPr>
      <w:r>
        <w:t xml:space="preserve">For activities giving </w:t>
      </w:r>
      <w:r w:rsidRPr="00407FB7">
        <w:rPr>
          <w:b/>
        </w:rPr>
        <w:t>evidence of evaluation</w:t>
      </w:r>
      <w:r w:rsidR="00CA7B19">
        <w:t xml:space="preserve"> (</w:t>
      </w:r>
      <w:r w:rsidR="00CA7B19" w:rsidRPr="00407FB7">
        <w:rPr>
          <w:i/>
        </w:rPr>
        <w:t xml:space="preserve">How do </w:t>
      </w:r>
      <w:r w:rsidR="00410781">
        <w:rPr>
          <w:i/>
        </w:rPr>
        <w:t>student</w:t>
      </w:r>
      <w:r w:rsidR="00CA7B19" w:rsidRPr="00407FB7">
        <w:rPr>
          <w:i/>
        </w:rPr>
        <w:t>s construct an argument, compare opposing arguments, make judgements?</w:t>
      </w:r>
      <w:r w:rsidR="00CA7B19">
        <w:t>)</w:t>
      </w:r>
      <w:r>
        <w:t>:</w:t>
      </w:r>
    </w:p>
    <w:p w:rsidR="00CA7B19" w:rsidRPr="00FE2486" w:rsidRDefault="00CA7B19" w:rsidP="00FE2486">
      <w:pPr>
        <w:pStyle w:val="ListParagraph"/>
        <w:numPr>
          <w:ilvl w:val="1"/>
          <w:numId w:val="4"/>
        </w:numPr>
        <w:ind w:left="567" w:hanging="284"/>
        <w:rPr>
          <w:sz w:val="20"/>
          <w:szCs w:val="20"/>
        </w:rPr>
      </w:pPr>
      <w:r w:rsidRPr="00FE2486">
        <w:rPr>
          <w:sz w:val="20"/>
          <w:szCs w:val="20"/>
        </w:rPr>
        <w:t>judge; evaluate; appraise; assess; criticise; rate; defend; question; discriminate; contrast</w:t>
      </w:r>
    </w:p>
    <w:p w:rsidR="00456E76" w:rsidRDefault="00456E76"/>
    <w:p w:rsidR="00B95F6C" w:rsidRPr="00B95F6C" w:rsidRDefault="00262E22" w:rsidP="006C3700">
      <w:pPr>
        <w:pStyle w:val="ListParagraph"/>
        <w:numPr>
          <w:ilvl w:val="0"/>
          <w:numId w:val="6"/>
        </w:numPr>
      </w:pPr>
      <w:r w:rsidRPr="006C3700">
        <w:rPr>
          <w:b/>
        </w:rPr>
        <w:t>Note:</w:t>
      </w:r>
      <w:r>
        <w:t xml:space="preserve"> </w:t>
      </w:r>
      <w:r w:rsidR="005A0561">
        <w:t xml:space="preserve">It is recommended that you </w:t>
      </w:r>
      <w:r w:rsidR="002E7302">
        <w:t>consider</w:t>
      </w:r>
      <w:r w:rsidR="005A0561">
        <w:t xml:space="preserve"> avoid</w:t>
      </w:r>
      <w:r w:rsidR="002E7302">
        <w:t>ing</w:t>
      </w:r>
      <w:r w:rsidR="005A0561">
        <w:t xml:space="preserve"> the use of the </w:t>
      </w:r>
      <w:r w:rsidR="00EE102E">
        <w:t>verbs</w:t>
      </w:r>
      <w:r w:rsidR="005A0561">
        <w:t xml:space="preserve"> ‘understand’ or ‘appreciate’ in the learning outcomes of a module. These terms tend to be ambiguous, and as a result, it is not made explicit to students the level of ‘understanding’ or amount of ‘appreciation’ that is required for succe</w:t>
      </w:r>
      <w:r w:rsidR="006C3700">
        <w:t>ssful completion of the module.</w:t>
      </w:r>
    </w:p>
    <w:p w:rsidR="0045671F" w:rsidRPr="00D92E20" w:rsidRDefault="0045671F">
      <w:pPr>
        <w:rPr>
          <w:b/>
        </w:rPr>
      </w:pPr>
      <w:r w:rsidRPr="00D92E20">
        <w:rPr>
          <w:b/>
        </w:rPr>
        <w:t>References</w:t>
      </w:r>
      <w:r w:rsidR="00B95F6C" w:rsidRPr="00D92E20">
        <w:rPr>
          <w:b/>
        </w:rPr>
        <w:t xml:space="preserve"> and further reading</w:t>
      </w:r>
    </w:p>
    <w:p w:rsidR="0045671F" w:rsidRDefault="0045671F" w:rsidP="00262E22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  <w:proofErr w:type="gramStart"/>
      <w:r w:rsidRPr="0045671F">
        <w:rPr>
          <w:rFonts w:cs="Times-Roman"/>
        </w:rPr>
        <w:t>Biggs, J. (2003) Teaching for quality learning at university.</w:t>
      </w:r>
      <w:proofErr w:type="gramEnd"/>
      <w:r w:rsidRPr="0045671F">
        <w:rPr>
          <w:rFonts w:cs="Times-Roman"/>
        </w:rPr>
        <w:t xml:space="preserve"> 2nd ed. Buckingham:</w:t>
      </w:r>
      <w:r>
        <w:rPr>
          <w:rFonts w:cs="Times-Roman"/>
        </w:rPr>
        <w:t xml:space="preserve"> </w:t>
      </w:r>
      <w:r w:rsidRPr="0045671F">
        <w:rPr>
          <w:rFonts w:cs="Times-Roman"/>
        </w:rPr>
        <w:t>SRHE and OUP</w:t>
      </w:r>
    </w:p>
    <w:p w:rsidR="0038758C" w:rsidRDefault="000D71D7" w:rsidP="00262E22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  <w:proofErr w:type="gramStart"/>
      <w:r>
        <w:rPr>
          <w:rFonts w:cs="Times-Roman"/>
        </w:rPr>
        <w:t>Higher Education Academy</w:t>
      </w:r>
      <w:r w:rsidR="0038758C">
        <w:rPr>
          <w:rFonts w:cs="Times-Roman"/>
        </w:rPr>
        <w:t xml:space="preserve"> (2005) Writing Learning Outcomes.</w:t>
      </w:r>
      <w:proofErr w:type="gramEnd"/>
      <w:r w:rsidR="0038758C">
        <w:rPr>
          <w:rFonts w:cs="Times-Roman"/>
        </w:rPr>
        <w:t xml:space="preserve"> </w:t>
      </w:r>
      <w:hyperlink r:id="rId10" w:history="1">
        <w:r w:rsidR="0038758C" w:rsidRPr="00203D39">
          <w:rPr>
            <w:rStyle w:val="Hyperlink"/>
            <w:rFonts w:cs="Times-Roman"/>
          </w:rPr>
          <w:t>http://www.heacademy.ac.uk/assets/ps/documents/primers/primers/ps0091_writing_learning_outcomes_mar_2005.pdf</w:t>
        </w:r>
      </w:hyperlink>
      <w:r w:rsidR="0038758C">
        <w:rPr>
          <w:rFonts w:cs="Times-Roman"/>
        </w:rPr>
        <w:t xml:space="preserve"> </w:t>
      </w:r>
    </w:p>
    <w:p w:rsidR="00B2633D" w:rsidRDefault="005A0561" w:rsidP="00262E22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  <w:r>
        <w:rPr>
          <w:rFonts w:cs="Times-Roman"/>
        </w:rPr>
        <w:t>Moon, J.</w:t>
      </w:r>
      <w:r w:rsidR="00B2633D">
        <w:rPr>
          <w:rFonts w:cs="Times-Roman"/>
        </w:rPr>
        <w:t xml:space="preserve"> </w:t>
      </w:r>
      <w:r>
        <w:rPr>
          <w:rFonts w:cs="Times-Roman"/>
        </w:rPr>
        <w:t xml:space="preserve">(2002) </w:t>
      </w:r>
      <w:proofErr w:type="gramStart"/>
      <w:r>
        <w:rPr>
          <w:rFonts w:cs="Times-Roman"/>
        </w:rPr>
        <w:t>The</w:t>
      </w:r>
      <w:proofErr w:type="gramEnd"/>
      <w:r>
        <w:rPr>
          <w:rFonts w:cs="Times-Roman"/>
        </w:rPr>
        <w:t xml:space="preserve"> Module and Programme Development Handbook. London: Kogan Page</w:t>
      </w:r>
      <w:r w:rsidR="00D92E20">
        <w:rPr>
          <w:rFonts w:cs="Times-Roman"/>
        </w:rPr>
        <w:t xml:space="preserve"> </w:t>
      </w:r>
    </w:p>
    <w:p w:rsidR="00092B9A" w:rsidRDefault="00092B9A" w:rsidP="00262E22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  <w:r>
        <w:rPr>
          <w:rFonts w:cs="Times-Roman"/>
        </w:rPr>
        <w:t>Kahn, P. (2003) Guidance on writing aims and intended learning outcomes. Academic Framework and Regulation Project</w:t>
      </w:r>
    </w:p>
    <w:sectPr w:rsidR="00092B9A" w:rsidSect="00D92E2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47"/>
    <w:multiLevelType w:val="hybridMultilevel"/>
    <w:tmpl w:val="F1EEC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5FD"/>
    <w:multiLevelType w:val="hybridMultilevel"/>
    <w:tmpl w:val="CC684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A0717"/>
    <w:multiLevelType w:val="hybridMultilevel"/>
    <w:tmpl w:val="7448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83EA6"/>
    <w:multiLevelType w:val="hybridMultilevel"/>
    <w:tmpl w:val="33B637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2227A8"/>
    <w:multiLevelType w:val="hybridMultilevel"/>
    <w:tmpl w:val="374E3DEC"/>
    <w:lvl w:ilvl="0" w:tplc="3AAE7E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27052"/>
    <w:multiLevelType w:val="hybridMultilevel"/>
    <w:tmpl w:val="381E378A"/>
    <w:lvl w:ilvl="0" w:tplc="589E20F8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1C67"/>
    <w:rsid w:val="00015758"/>
    <w:rsid w:val="00027C7E"/>
    <w:rsid w:val="00037427"/>
    <w:rsid w:val="000902D1"/>
    <w:rsid w:val="00092B9A"/>
    <w:rsid w:val="000D71D7"/>
    <w:rsid w:val="000D7BD9"/>
    <w:rsid w:val="001A5DAF"/>
    <w:rsid w:val="001D4E0A"/>
    <w:rsid w:val="00225762"/>
    <w:rsid w:val="00240585"/>
    <w:rsid w:val="002551D0"/>
    <w:rsid w:val="00262E22"/>
    <w:rsid w:val="002B0055"/>
    <w:rsid w:val="002E7302"/>
    <w:rsid w:val="00311F70"/>
    <w:rsid w:val="00333999"/>
    <w:rsid w:val="00336E54"/>
    <w:rsid w:val="003747E8"/>
    <w:rsid w:val="0038617F"/>
    <w:rsid w:val="0038758C"/>
    <w:rsid w:val="003B494B"/>
    <w:rsid w:val="003D1C67"/>
    <w:rsid w:val="00407FB7"/>
    <w:rsid w:val="00410781"/>
    <w:rsid w:val="0042346F"/>
    <w:rsid w:val="00450507"/>
    <w:rsid w:val="0045671F"/>
    <w:rsid w:val="00456E76"/>
    <w:rsid w:val="004747CB"/>
    <w:rsid w:val="004D25B3"/>
    <w:rsid w:val="004D2723"/>
    <w:rsid w:val="00572F31"/>
    <w:rsid w:val="00581A1A"/>
    <w:rsid w:val="005833DA"/>
    <w:rsid w:val="005A0561"/>
    <w:rsid w:val="006332AD"/>
    <w:rsid w:val="00636FB8"/>
    <w:rsid w:val="00640704"/>
    <w:rsid w:val="006640DE"/>
    <w:rsid w:val="006C3700"/>
    <w:rsid w:val="00762798"/>
    <w:rsid w:val="007A4CCF"/>
    <w:rsid w:val="007B1DFD"/>
    <w:rsid w:val="00823F88"/>
    <w:rsid w:val="0083226B"/>
    <w:rsid w:val="008366A1"/>
    <w:rsid w:val="00877EAF"/>
    <w:rsid w:val="00882AC8"/>
    <w:rsid w:val="00894990"/>
    <w:rsid w:val="00920AD3"/>
    <w:rsid w:val="00921514"/>
    <w:rsid w:val="00951050"/>
    <w:rsid w:val="00A13A46"/>
    <w:rsid w:val="00A4212A"/>
    <w:rsid w:val="00A766C0"/>
    <w:rsid w:val="00B03EC9"/>
    <w:rsid w:val="00B20E05"/>
    <w:rsid w:val="00B2633D"/>
    <w:rsid w:val="00B95F6C"/>
    <w:rsid w:val="00C0011C"/>
    <w:rsid w:val="00CA7B19"/>
    <w:rsid w:val="00CB738E"/>
    <w:rsid w:val="00CC19D5"/>
    <w:rsid w:val="00CF6502"/>
    <w:rsid w:val="00D608AC"/>
    <w:rsid w:val="00D652C0"/>
    <w:rsid w:val="00D92E20"/>
    <w:rsid w:val="00E22A57"/>
    <w:rsid w:val="00E56036"/>
    <w:rsid w:val="00EE102E"/>
    <w:rsid w:val="00F34BFB"/>
    <w:rsid w:val="00F40BD6"/>
    <w:rsid w:val="00F5575B"/>
    <w:rsid w:val="00FA4F71"/>
    <w:rsid w:val="00FD57E2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1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567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heacademy.ac.uk/assets/ps/documents/primers/primers/ps0091_writing_learning_outcomes_mar_2005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91E71619EE84FAF8B5BF526CFDE67" ma:contentTypeVersion="0" ma:contentTypeDescription="Create a new document." ma:contentTypeScope="" ma:versionID="4b157162462b14a310bd5bc5ae1b8e08">
  <xsd:schema xmlns:xsd="http://www.w3.org/2001/XMLSchema" xmlns:p="http://schemas.microsoft.com/office/2006/metadata/properties" targetNamespace="http://schemas.microsoft.com/office/2006/metadata/properties" ma:root="true" ma:fieldsID="b6d07dc4efc8556ce6720bc4f79f3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A647AF-CD44-40FA-B2FD-FC0031A39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A60E7D-BA4E-40F3-8D6E-D4A326EC3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94C46-1E09-41A3-B5FD-D69E6B8335B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Jaye McIsaac</cp:lastModifiedBy>
  <cp:revision>2</cp:revision>
  <cp:lastPrinted>2012-11-28T11:51:00Z</cp:lastPrinted>
  <dcterms:created xsi:type="dcterms:W3CDTF">2014-10-27T17:09:00Z</dcterms:created>
  <dcterms:modified xsi:type="dcterms:W3CDTF">2014-10-27T17:09:00Z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0x010100DC891E71619EE84FAF8B5BF526CFDE67</vt:lpwstr>
  </property>
</Properties>
</file>