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20" w:rsidRPr="000C4D81" w:rsidRDefault="00A20120" w:rsidP="00412280">
      <w:pPr>
        <w:spacing w:after="0" w:line="240" w:lineRule="auto"/>
        <w:rPr>
          <w:rFonts w:asciiTheme="minorHAnsi" w:hAnsiTheme="minorHAnsi" w:cs="Arial"/>
          <w:b/>
        </w:rPr>
      </w:pPr>
    </w:p>
    <w:p w:rsidR="00A20120" w:rsidRPr="000C4D81" w:rsidRDefault="00A20120" w:rsidP="00412280">
      <w:pPr>
        <w:spacing w:after="0" w:line="240" w:lineRule="auto"/>
        <w:jc w:val="center"/>
        <w:rPr>
          <w:rFonts w:asciiTheme="minorHAnsi" w:hAnsiTheme="minorHAnsi" w:cs="Arial"/>
          <w:b/>
          <w:sz w:val="40"/>
          <w:szCs w:val="40"/>
        </w:rPr>
      </w:pPr>
      <w:r w:rsidRPr="000C4D81">
        <w:rPr>
          <w:rFonts w:asciiTheme="minorHAnsi" w:hAnsiTheme="minorHAnsi" w:cs="Arial"/>
          <w:b/>
          <w:noProof/>
          <w:sz w:val="40"/>
          <w:szCs w:val="40"/>
          <w:lang w:eastAsia="en-GB"/>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-672465</wp:posOffset>
            </wp:positionV>
            <wp:extent cx="1838325" cy="428625"/>
            <wp:effectExtent l="19050" t="0" r="9525" b="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8" cstate="print"/>
                    <a:srcRect/>
                    <a:stretch>
                      <a:fillRect/>
                    </a:stretch>
                  </pic:blipFill>
                  <pic:spPr bwMode="auto">
                    <a:xfrm>
                      <a:off x="0" y="0"/>
                      <a:ext cx="1838325" cy="428625"/>
                    </a:xfrm>
                    <a:prstGeom prst="rect">
                      <a:avLst/>
                    </a:prstGeom>
                    <a:noFill/>
                    <a:ln w="9525">
                      <a:noFill/>
                      <a:miter lim="800000"/>
                      <a:headEnd/>
                      <a:tailEnd/>
                    </a:ln>
                  </pic:spPr>
                </pic:pic>
              </a:graphicData>
            </a:graphic>
          </wp:anchor>
        </w:drawing>
      </w:r>
      <w:r w:rsidR="00B55B34" w:rsidRPr="000C4D81">
        <w:rPr>
          <w:rFonts w:asciiTheme="minorHAnsi" w:hAnsiTheme="minorHAnsi" w:cs="Arial"/>
          <w:b/>
          <w:sz w:val="40"/>
          <w:szCs w:val="40"/>
        </w:rPr>
        <w:t>Introducing</w:t>
      </w:r>
      <w:r w:rsidR="00F8396D" w:rsidRPr="000C4D81">
        <w:rPr>
          <w:rFonts w:asciiTheme="minorHAnsi" w:hAnsiTheme="minorHAnsi" w:cs="Arial"/>
          <w:b/>
          <w:sz w:val="40"/>
          <w:szCs w:val="40"/>
        </w:rPr>
        <w:t xml:space="preserve"> </w:t>
      </w:r>
      <w:r w:rsidR="00A55445" w:rsidRPr="000C4D81">
        <w:rPr>
          <w:rFonts w:asciiTheme="minorHAnsi" w:hAnsiTheme="minorHAnsi" w:cs="Arial"/>
          <w:b/>
          <w:sz w:val="40"/>
          <w:szCs w:val="40"/>
        </w:rPr>
        <w:t>research</w:t>
      </w:r>
      <w:r w:rsidR="000B407F" w:rsidRPr="000C4D81">
        <w:rPr>
          <w:rFonts w:asciiTheme="minorHAnsi" w:hAnsiTheme="minorHAnsi" w:cs="Arial"/>
          <w:b/>
          <w:sz w:val="40"/>
          <w:szCs w:val="40"/>
        </w:rPr>
        <w:t>-led learning</w:t>
      </w:r>
      <w:r w:rsidR="00AF57A9">
        <w:rPr>
          <w:rFonts w:asciiTheme="minorHAnsi" w:hAnsiTheme="minorHAnsi" w:cs="Arial"/>
          <w:b/>
          <w:sz w:val="40"/>
          <w:szCs w:val="40"/>
        </w:rPr>
        <w:t xml:space="preserve"> and teaching</w:t>
      </w:r>
    </w:p>
    <w:p w:rsidR="00A55445" w:rsidRPr="000C4D81" w:rsidRDefault="00A20120" w:rsidP="00412280">
      <w:pPr>
        <w:spacing w:after="0" w:line="240" w:lineRule="auto"/>
        <w:jc w:val="center"/>
        <w:rPr>
          <w:rFonts w:asciiTheme="minorHAnsi" w:hAnsiTheme="minorHAnsi" w:cs="Arial"/>
          <w:b/>
          <w:i/>
          <w:sz w:val="32"/>
          <w:szCs w:val="32"/>
        </w:rPr>
      </w:pPr>
      <w:r w:rsidRPr="000C4D81">
        <w:rPr>
          <w:rFonts w:asciiTheme="minorHAnsi" w:hAnsiTheme="minorHAnsi" w:cs="Arial"/>
          <w:b/>
          <w:i/>
          <w:sz w:val="32"/>
          <w:szCs w:val="32"/>
        </w:rPr>
        <w:t>A</w:t>
      </w:r>
      <w:r w:rsidR="00A55445" w:rsidRPr="000C4D81">
        <w:rPr>
          <w:rFonts w:asciiTheme="minorHAnsi" w:hAnsiTheme="minorHAnsi" w:cs="Arial"/>
          <w:b/>
          <w:i/>
          <w:sz w:val="32"/>
          <w:szCs w:val="32"/>
        </w:rPr>
        <w:t xml:space="preserve"> briefing note </w:t>
      </w:r>
    </w:p>
    <w:p w:rsidR="00D552B9" w:rsidRPr="000C4D81" w:rsidRDefault="00D552B9" w:rsidP="00412280">
      <w:pPr>
        <w:spacing w:after="0" w:line="240" w:lineRule="auto"/>
        <w:rPr>
          <w:rFonts w:asciiTheme="minorHAnsi" w:hAnsiTheme="minorHAnsi" w:cs="Arial"/>
          <w:b/>
        </w:rPr>
      </w:pPr>
      <w:r w:rsidRPr="000C4D81">
        <w:rPr>
          <w:rFonts w:asciiTheme="minorHAnsi" w:hAnsiTheme="minorHAnsi" w:cs="Arial"/>
          <w:b/>
        </w:rPr>
        <w:t xml:space="preserve"> </w:t>
      </w:r>
    </w:p>
    <w:p w:rsidR="00A34406" w:rsidRPr="000C4D81" w:rsidRDefault="00A34406" w:rsidP="00412280">
      <w:pPr>
        <w:pStyle w:val="ListParagraph"/>
        <w:numPr>
          <w:ilvl w:val="0"/>
          <w:numId w:val="11"/>
        </w:numPr>
        <w:spacing w:after="0" w:line="240" w:lineRule="auto"/>
        <w:rPr>
          <w:rFonts w:asciiTheme="minorHAnsi" w:hAnsiTheme="minorHAnsi" w:cs="Arial"/>
          <w:b/>
          <w:sz w:val="28"/>
          <w:szCs w:val="28"/>
        </w:rPr>
      </w:pPr>
      <w:r w:rsidRPr="000C4D81">
        <w:rPr>
          <w:rFonts w:asciiTheme="minorHAnsi" w:hAnsiTheme="minorHAnsi" w:cs="Arial"/>
          <w:b/>
          <w:sz w:val="28"/>
          <w:szCs w:val="28"/>
        </w:rPr>
        <w:t>Introduction</w:t>
      </w:r>
    </w:p>
    <w:p w:rsidR="003A7AC3" w:rsidRPr="000C4D81" w:rsidRDefault="003A7AC3" w:rsidP="00412280">
      <w:pPr>
        <w:spacing w:after="0" w:line="240" w:lineRule="auto"/>
        <w:rPr>
          <w:rFonts w:asciiTheme="minorHAnsi" w:hAnsiTheme="minorHAnsi" w:cs="Arial"/>
        </w:rPr>
      </w:pPr>
    </w:p>
    <w:p w:rsidR="000B407F" w:rsidRPr="000C4D81" w:rsidRDefault="000B407F" w:rsidP="000C4D81">
      <w:pPr>
        <w:spacing w:after="0" w:line="240" w:lineRule="auto"/>
        <w:ind w:left="360"/>
        <w:rPr>
          <w:rFonts w:asciiTheme="minorHAnsi" w:hAnsiTheme="minorHAnsi"/>
        </w:rPr>
      </w:pPr>
      <w:r w:rsidRPr="000C4D81">
        <w:rPr>
          <w:rFonts w:asciiTheme="minorHAnsi" w:hAnsiTheme="minorHAnsi"/>
        </w:rPr>
        <w:t>‘The University considers research-led teaching to be a defining characteristic of its approach to education’ (QAA Institutional Audit, University of Liverpool, March 2009)</w:t>
      </w:r>
    </w:p>
    <w:p w:rsidR="000C4D81" w:rsidRPr="000C4D81" w:rsidRDefault="000C4D81" w:rsidP="00192BCF">
      <w:pPr>
        <w:autoSpaceDE w:val="0"/>
        <w:autoSpaceDN w:val="0"/>
        <w:adjustRightInd w:val="0"/>
        <w:spacing w:after="0" w:line="240" w:lineRule="auto"/>
        <w:rPr>
          <w:rFonts w:asciiTheme="minorHAnsi" w:hAnsiTheme="minorHAnsi"/>
        </w:rPr>
      </w:pPr>
    </w:p>
    <w:p w:rsidR="000C4D81" w:rsidRPr="000C4D81" w:rsidRDefault="00DF6519" w:rsidP="00192BCF">
      <w:pPr>
        <w:autoSpaceDE w:val="0"/>
        <w:autoSpaceDN w:val="0"/>
        <w:adjustRightInd w:val="0"/>
        <w:spacing w:after="0" w:line="240" w:lineRule="auto"/>
        <w:rPr>
          <w:rFonts w:asciiTheme="minorHAnsi" w:eastAsia="Times New Roman" w:hAnsiTheme="minorHAnsi"/>
        </w:rPr>
      </w:pPr>
      <w:r>
        <w:rPr>
          <w:rFonts w:asciiTheme="minorHAnsi" w:hAnsiTheme="minorHAnsi"/>
        </w:rPr>
        <w:t xml:space="preserve">It </w:t>
      </w:r>
      <w:r w:rsidR="00192BCF" w:rsidRPr="000C4D81">
        <w:rPr>
          <w:rFonts w:asciiTheme="minorHAnsi" w:hAnsiTheme="minorHAnsi"/>
        </w:rPr>
        <w:t xml:space="preserve">makes sense for a research-intensive university with a large student body to ensure that </w:t>
      </w:r>
      <w:proofErr w:type="gramStart"/>
      <w:r w:rsidR="00192BCF" w:rsidRPr="000C4D81">
        <w:rPr>
          <w:rFonts w:asciiTheme="minorHAnsi" w:hAnsiTheme="minorHAnsi"/>
        </w:rPr>
        <w:t>its</w:t>
      </w:r>
      <w:proofErr w:type="gramEnd"/>
      <w:r w:rsidR="00192BCF" w:rsidRPr="000C4D81">
        <w:rPr>
          <w:rFonts w:asciiTheme="minorHAnsi" w:hAnsiTheme="minorHAnsi"/>
        </w:rPr>
        <w:t xml:space="preserve"> teaching and learning is led by research.</w:t>
      </w:r>
      <w:r w:rsidR="000C4D81" w:rsidRPr="000C4D81">
        <w:rPr>
          <w:rFonts w:asciiTheme="minorHAnsi" w:hAnsiTheme="minorHAnsi"/>
        </w:rPr>
        <w:t xml:space="preserve"> </w:t>
      </w:r>
      <w:r w:rsidR="000C4D81" w:rsidRPr="000C4D81">
        <w:rPr>
          <w:rFonts w:asciiTheme="minorHAnsi" w:eastAsia="Times New Roman" w:hAnsiTheme="minorHAnsi"/>
        </w:rPr>
        <w:t>And t</w:t>
      </w:r>
      <w:r w:rsidR="00AF57A9">
        <w:rPr>
          <w:rFonts w:asciiTheme="minorHAnsi" w:eastAsia="Times New Roman" w:hAnsiTheme="minorHAnsi"/>
        </w:rPr>
        <w:t>he un</w:t>
      </w:r>
      <w:r>
        <w:rPr>
          <w:rFonts w:asciiTheme="minorHAnsi" w:eastAsia="Times New Roman" w:hAnsiTheme="minorHAnsi"/>
        </w:rPr>
        <w:t xml:space="preserve">iversity’s strategic plan </w:t>
      </w:r>
      <w:r w:rsidR="000C4D81" w:rsidRPr="000C4D81">
        <w:rPr>
          <w:rFonts w:asciiTheme="minorHAnsi" w:eastAsia="Times New Roman" w:hAnsiTheme="minorHAnsi"/>
        </w:rPr>
        <w:t>envisages an intellectual environment in which teaching and learning is driven by research excellence.</w:t>
      </w:r>
      <w:r w:rsidR="000C4D81">
        <w:rPr>
          <w:rFonts w:asciiTheme="minorHAnsi" w:eastAsia="Times New Roman" w:hAnsiTheme="minorHAnsi"/>
        </w:rPr>
        <w:t xml:space="preserve"> </w:t>
      </w:r>
      <w:r w:rsidR="00192BCF" w:rsidRPr="000C4D81">
        <w:rPr>
          <w:rFonts w:asciiTheme="minorHAnsi" w:hAnsiTheme="minorHAnsi"/>
        </w:rPr>
        <w:t>But the notion ‘research-led tea</w:t>
      </w:r>
      <w:r>
        <w:rPr>
          <w:rFonts w:asciiTheme="minorHAnsi" w:hAnsiTheme="minorHAnsi"/>
        </w:rPr>
        <w:t xml:space="preserve">ching’ remains one that is </w:t>
      </w:r>
      <w:r w:rsidR="00192BCF" w:rsidRPr="000C4D81">
        <w:rPr>
          <w:rFonts w:asciiTheme="minorHAnsi" w:hAnsiTheme="minorHAnsi"/>
        </w:rPr>
        <w:t>open to a range of interpretations.  Indeed, the report from our recent QAA Institutional Audit points out that ‘</w:t>
      </w:r>
      <w:r w:rsidR="00192BCF" w:rsidRPr="000C4D81">
        <w:rPr>
          <w:rFonts w:asciiTheme="minorHAnsi" w:eastAsiaTheme="minorHAnsi" w:hAnsiTheme="minorHAnsi" w:cs="StoneSans"/>
          <w:color w:val="231F20"/>
          <w:lang w:val="en-US"/>
        </w:rPr>
        <w:t xml:space="preserve">many courses focused on staff employing what could be </w:t>
      </w:r>
      <w:proofErr w:type="spellStart"/>
      <w:r w:rsidR="00192BCF" w:rsidRPr="000C4D81">
        <w:rPr>
          <w:rFonts w:asciiTheme="minorHAnsi" w:eastAsiaTheme="minorHAnsi" w:hAnsiTheme="minorHAnsi" w:cs="StoneSans"/>
          <w:color w:val="231F20"/>
          <w:lang w:val="en-US"/>
        </w:rPr>
        <w:t>characterised</w:t>
      </w:r>
      <w:proofErr w:type="spellEnd"/>
      <w:r w:rsidR="00192BCF" w:rsidRPr="000C4D81">
        <w:rPr>
          <w:rFonts w:asciiTheme="minorHAnsi" w:eastAsiaTheme="minorHAnsi" w:hAnsiTheme="minorHAnsi" w:cs="StoneSans"/>
          <w:color w:val="231F20"/>
          <w:lang w:val="en-US"/>
        </w:rPr>
        <w:t xml:space="preserve"> as a somewhat passive 'research-led' approach through curriculum content conveyed by experts’</w:t>
      </w:r>
      <w:r w:rsidR="000C4D81" w:rsidRPr="000C4D81">
        <w:rPr>
          <w:rFonts w:asciiTheme="minorHAnsi" w:eastAsiaTheme="minorHAnsi" w:hAnsiTheme="minorHAnsi" w:cs="StoneSans"/>
          <w:color w:val="231F20"/>
          <w:lang w:val="en-US"/>
        </w:rPr>
        <w:t xml:space="preserve"> (</w:t>
      </w:r>
      <w:proofErr w:type="spellStart"/>
      <w:r w:rsidR="000C4D81" w:rsidRPr="000C4D81">
        <w:rPr>
          <w:rFonts w:asciiTheme="minorHAnsi" w:eastAsiaTheme="minorHAnsi" w:hAnsiTheme="minorHAnsi" w:cs="StoneSans"/>
          <w:color w:val="231F20"/>
          <w:lang w:val="en-US"/>
        </w:rPr>
        <w:t>para</w:t>
      </w:r>
      <w:proofErr w:type="spellEnd"/>
      <w:r w:rsidR="000C4D81" w:rsidRPr="000C4D81">
        <w:rPr>
          <w:rFonts w:asciiTheme="minorHAnsi" w:eastAsiaTheme="minorHAnsi" w:hAnsiTheme="minorHAnsi" w:cs="StoneSans"/>
          <w:color w:val="231F20"/>
          <w:lang w:val="en-US"/>
        </w:rPr>
        <w:t xml:space="preserve"> 28), noting that only in certain areas of the university were students engaged and developed as active researchers. </w:t>
      </w:r>
    </w:p>
    <w:p w:rsidR="000C4D81" w:rsidRPr="000C4D81" w:rsidRDefault="000C4D81" w:rsidP="00192BCF">
      <w:pPr>
        <w:autoSpaceDE w:val="0"/>
        <w:autoSpaceDN w:val="0"/>
        <w:adjustRightInd w:val="0"/>
        <w:spacing w:after="0" w:line="240" w:lineRule="auto"/>
        <w:rPr>
          <w:rFonts w:asciiTheme="minorHAnsi" w:eastAsiaTheme="minorHAnsi" w:hAnsiTheme="minorHAnsi" w:cs="StoneSans"/>
          <w:color w:val="231F20"/>
          <w:lang w:val="en-US"/>
        </w:rPr>
      </w:pPr>
      <w:r>
        <w:rPr>
          <w:rFonts w:asciiTheme="minorHAnsi" w:eastAsiaTheme="minorHAnsi" w:hAnsiTheme="minorHAnsi" w:cs="StoneSans"/>
          <w:color w:val="231F20"/>
          <w:lang w:val="en-US"/>
        </w:rPr>
        <w:tab/>
      </w:r>
      <w:r w:rsidRPr="000C4D81">
        <w:rPr>
          <w:rFonts w:asciiTheme="minorHAnsi" w:eastAsiaTheme="minorHAnsi" w:hAnsiTheme="minorHAnsi" w:cs="StoneSans"/>
          <w:color w:val="231F20"/>
          <w:lang w:val="en-US"/>
        </w:rPr>
        <w:t xml:space="preserve">This briefing note is designed to provide an overview of the main interpretations of research-led teaching and learning, </w:t>
      </w:r>
      <w:r w:rsidR="00DF6519">
        <w:rPr>
          <w:rFonts w:asciiTheme="minorHAnsi" w:eastAsiaTheme="minorHAnsi" w:hAnsiTheme="minorHAnsi" w:cs="StoneSans"/>
          <w:color w:val="231F20"/>
          <w:lang w:val="en-US"/>
        </w:rPr>
        <w:t>focusing in greater detail on</w:t>
      </w:r>
      <w:r w:rsidRPr="000C4D81">
        <w:rPr>
          <w:rFonts w:asciiTheme="minorHAnsi" w:eastAsiaTheme="minorHAnsi" w:hAnsiTheme="minorHAnsi" w:cs="StoneSans"/>
          <w:color w:val="231F20"/>
          <w:lang w:val="en-US"/>
        </w:rPr>
        <w:t xml:space="preserve"> approaches </w:t>
      </w:r>
      <w:r w:rsidR="00DF6519">
        <w:rPr>
          <w:rFonts w:asciiTheme="minorHAnsi" w:eastAsiaTheme="minorHAnsi" w:hAnsiTheme="minorHAnsi" w:cs="StoneSans"/>
          <w:color w:val="231F20"/>
          <w:lang w:val="en-US"/>
        </w:rPr>
        <w:t>that engage students</w:t>
      </w:r>
      <w:r w:rsidRPr="000C4D81">
        <w:rPr>
          <w:rFonts w:asciiTheme="minorHAnsi" w:eastAsiaTheme="minorHAnsi" w:hAnsiTheme="minorHAnsi" w:cs="StoneSans"/>
          <w:color w:val="231F20"/>
          <w:lang w:val="en-US"/>
        </w:rPr>
        <w:t xml:space="preserve">.  </w:t>
      </w:r>
      <w:r w:rsidR="00AF57A9">
        <w:rPr>
          <w:rFonts w:asciiTheme="minorHAnsi" w:eastAsiaTheme="minorHAnsi" w:hAnsiTheme="minorHAnsi" w:cs="StoneSans"/>
          <w:color w:val="231F20"/>
          <w:lang w:val="en-US"/>
        </w:rPr>
        <w:t xml:space="preserve">But it </w:t>
      </w:r>
      <w:proofErr w:type="spellStart"/>
      <w:r w:rsidR="00AF57A9">
        <w:rPr>
          <w:rFonts w:asciiTheme="minorHAnsi" w:eastAsiaTheme="minorHAnsi" w:hAnsiTheme="minorHAnsi" w:cs="StoneSans"/>
          <w:color w:val="231F20"/>
          <w:lang w:val="en-US"/>
        </w:rPr>
        <w:t>recognises</w:t>
      </w:r>
      <w:proofErr w:type="spellEnd"/>
      <w:r w:rsidR="00AF57A9">
        <w:rPr>
          <w:rFonts w:asciiTheme="minorHAnsi" w:eastAsiaTheme="minorHAnsi" w:hAnsiTheme="minorHAnsi" w:cs="StoneSans"/>
          <w:color w:val="231F20"/>
          <w:lang w:val="en-US"/>
        </w:rPr>
        <w:t xml:space="preserve"> also that </w:t>
      </w:r>
      <w:proofErr w:type="gramStart"/>
      <w:r w:rsidR="00AF57A9">
        <w:rPr>
          <w:rFonts w:asciiTheme="minorHAnsi" w:eastAsiaTheme="minorHAnsi" w:hAnsiTheme="minorHAnsi" w:cs="StoneSans"/>
          <w:color w:val="231F20"/>
          <w:lang w:val="en-US"/>
        </w:rPr>
        <w:t>a sign</w:t>
      </w:r>
      <w:r w:rsidR="00F10376">
        <w:rPr>
          <w:rFonts w:asciiTheme="minorHAnsi" w:eastAsiaTheme="minorHAnsi" w:hAnsiTheme="minorHAnsi" w:cs="StoneSans"/>
          <w:color w:val="231F20"/>
          <w:lang w:val="en-US"/>
        </w:rPr>
        <w:t>i</w:t>
      </w:r>
      <w:r w:rsidR="00AF57A9">
        <w:rPr>
          <w:rFonts w:asciiTheme="minorHAnsi" w:eastAsiaTheme="minorHAnsi" w:hAnsiTheme="minorHAnsi" w:cs="StoneSans"/>
          <w:color w:val="231F20"/>
          <w:lang w:val="en-US"/>
        </w:rPr>
        <w:t>fi</w:t>
      </w:r>
      <w:r w:rsidR="00DF6519">
        <w:rPr>
          <w:rFonts w:asciiTheme="minorHAnsi" w:eastAsiaTheme="minorHAnsi" w:hAnsiTheme="minorHAnsi" w:cs="StoneSans"/>
          <w:color w:val="231F20"/>
          <w:lang w:val="en-US"/>
        </w:rPr>
        <w:t>cant shifts</w:t>
      </w:r>
      <w:proofErr w:type="gramEnd"/>
      <w:r w:rsidR="00DF6519">
        <w:rPr>
          <w:rFonts w:asciiTheme="minorHAnsi" w:eastAsiaTheme="minorHAnsi" w:hAnsiTheme="minorHAnsi" w:cs="StoneSans"/>
          <w:color w:val="231F20"/>
          <w:lang w:val="en-US"/>
        </w:rPr>
        <w:t xml:space="preserve"> are entailed in involving </w:t>
      </w:r>
      <w:r w:rsidR="00AF57A9">
        <w:rPr>
          <w:rFonts w:asciiTheme="minorHAnsi" w:eastAsiaTheme="minorHAnsi" w:hAnsiTheme="minorHAnsi" w:cs="StoneSans"/>
          <w:color w:val="231F20"/>
          <w:lang w:val="en-US"/>
        </w:rPr>
        <w:t xml:space="preserve">students as active participants in research. </w:t>
      </w:r>
      <w:r w:rsidRPr="000C4D81">
        <w:rPr>
          <w:rFonts w:asciiTheme="minorHAnsi" w:eastAsiaTheme="minorHAnsi" w:hAnsiTheme="minorHAnsi" w:cs="StoneSans"/>
          <w:color w:val="231F20"/>
          <w:lang w:val="en-US"/>
        </w:rPr>
        <w:t xml:space="preserve"> </w:t>
      </w:r>
    </w:p>
    <w:p w:rsidR="000C4D81" w:rsidRPr="000C4D81" w:rsidRDefault="000C4D81" w:rsidP="00192BCF">
      <w:pPr>
        <w:autoSpaceDE w:val="0"/>
        <w:autoSpaceDN w:val="0"/>
        <w:adjustRightInd w:val="0"/>
        <w:spacing w:after="0" w:line="240" w:lineRule="auto"/>
        <w:rPr>
          <w:rFonts w:asciiTheme="minorHAnsi" w:eastAsiaTheme="minorHAnsi" w:hAnsiTheme="minorHAnsi" w:cs="StoneSans"/>
          <w:color w:val="231F20"/>
          <w:lang w:val="en-US"/>
        </w:rPr>
      </w:pPr>
    </w:p>
    <w:p w:rsidR="000C4D81" w:rsidRPr="000C4D81" w:rsidRDefault="000C4D81" w:rsidP="00192BCF">
      <w:pPr>
        <w:autoSpaceDE w:val="0"/>
        <w:autoSpaceDN w:val="0"/>
        <w:adjustRightInd w:val="0"/>
        <w:spacing w:after="0" w:line="240" w:lineRule="auto"/>
        <w:rPr>
          <w:rFonts w:asciiTheme="minorHAnsi" w:eastAsiaTheme="minorHAnsi" w:hAnsiTheme="minorHAnsi" w:cs="StoneSans"/>
          <w:color w:val="231F20"/>
          <w:lang w:val="en-US"/>
        </w:rPr>
      </w:pPr>
    </w:p>
    <w:p w:rsidR="00192BCF" w:rsidRPr="000C4D81" w:rsidRDefault="000C4D81" w:rsidP="000C4D81">
      <w:pPr>
        <w:pStyle w:val="ListParagraph"/>
        <w:numPr>
          <w:ilvl w:val="0"/>
          <w:numId w:val="11"/>
        </w:numPr>
        <w:spacing w:after="0" w:line="240" w:lineRule="auto"/>
        <w:rPr>
          <w:rFonts w:asciiTheme="minorHAnsi" w:hAnsiTheme="minorHAnsi" w:cs="Arial"/>
          <w:b/>
          <w:sz w:val="28"/>
          <w:szCs w:val="28"/>
        </w:rPr>
      </w:pPr>
      <w:r w:rsidRPr="000C4D81">
        <w:rPr>
          <w:rFonts w:asciiTheme="minorHAnsi" w:hAnsiTheme="minorHAnsi" w:cs="Arial"/>
          <w:b/>
          <w:sz w:val="28"/>
          <w:szCs w:val="28"/>
        </w:rPr>
        <w:t>N</w:t>
      </w:r>
      <w:r w:rsidR="00192BCF" w:rsidRPr="000C4D81">
        <w:rPr>
          <w:rFonts w:asciiTheme="minorHAnsi" w:hAnsiTheme="minorHAnsi" w:cs="Arial"/>
          <w:b/>
          <w:sz w:val="28"/>
          <w:szCs w:val="28"/>
        </w:rPr>
        <w:t xml:space="preserve">otions of research-led </w:t>
      </w:r>
      <w:r w:rsidR="00D9686F">
        <w:rPr>
          <w:rFonts w:asciiTheme="minorHAnsi" w:hAnsiTheme="minorHAnsi" w:cs="Arial"/>
          <w:b/>
          <w:sz w:val="28"/>
          <w:szCs w:val="28"/>
        </w:rPr>
        <w:t>learning and teaching</w:t>
      </w:r>
    </w:p>
    <w:p w:rsidR="000C4D81" w:rsidRDefault="000C4D81" w:rsidP="00192BCF">
      <w:pPr>
        <w:spacing w:after="0"/>
        <w:rPr>
          <w:rFonts w:asciiTheme="minorHAnsi" w:hAnsiTheme="minorHAnsi"/>
        </w:rPr>
      </w:pPr>
    </w:p>
    <w:p w:rsidR="00192BCF" w:rsidRPr="000C4D81" w:rsidRDefault="00192BCF" w:rsidP="00192BCF">
      <w:pPr>
        <w:spacing w:after="0"/>
        <w:rPr>
          <w:rFonts w:asciiTheme="minorHAnsi" w:hAnsiTheme="minorHAnsi"/>
        </w:rPr>
      </w:pPr>
      <w:r w:rsidRPr="000C4D81">
        <w:rPr>
          <w:rFonts w:asciiTheme="minorHAnsi" w:hAnsiTheme="minorHAnsi"/>
        </w:rPr>
        <w:t xml:space="preserve">There are a number of models </w:t>
      </w:r>
      <w:r w:rsidR="00AF57A9">
        <w:rPr>
          <w:rFonts w:asciiTheme="minorHAnsi" w:hAnsiTheme="minorHAnsi"/>
        </w:rPr>
        <w:t xml:space="preserve">of the teaching-research nexus. </w:t>
      </w:r>
      <w:r w:rsidR="000C4D81">
        <w:rPr>
          <w:rFonts w:asciiTheme="minorHAnsi" w:hAnsiTheme="minorHAnsi"/>
        </w:rPr>
        <w:t xml:space="preserve">Griffiths (2004) </w:t>
      </w:r>
      <w:r w:rsidRPr="000C4D81">
        <w:rPr>
          <w:rFonts w:asciiTheme="minorHAnsi" w:hAnsiTheme="minorHAnsi"/>
        </w:rPr>
        <w:t xml:space="preserve">argues in one widely-used categorisation for four different models: </w:t>
      </w:r>
    </w:p>
    <w:p w:rsidR="00192BCF" w:rsidRPr="00AF57A9" w:rsidRDefault="000C4D81" w:rsidP="00192BCF">
      <w:pPr>
        <w:pStyle w:val="ListParagraph"/>
        <w:numPr>
          <w:ilvl w:val="0"/>
          <w:numId w:val="2"/>
        </w:numPr>
        <w:spacing w:before="240"/>
        <w:rPr>
          <w:rFonts w:asciiTheme="minorHAnsi" w:hAnsiTheme="minorHAnsi"/>
          <w:b/>
          <w:i/>
        </w:rPr>
      </w:pPr>
      <w:r w:rsidRPr="00AF57A9">
        <w:rPr>
          <w:rFonts w:asciiTheme="minorHAnsi" w:hAnsiTheme="minorHAnsi"/>
          <w:b/>
          <w:i/>
        </w:rPr>
        <w:t xml:space="preserve">The curriculum is </w:t>
      </w:r>
      <w:r w:rsidR="00AF57A9">
        <w:rPr>
          <w:rFonts w:asciiTheme="minorHAnsi" w:hAnsiTheme="minorHAnsi"/>
          <w:b/>
          <w:i/>
        </w:rPr>
        <w:t>delivered by research-</w:t>
      </w:r>
      <w:r w:rsidRPr="00AF57A9">
        <w:rPr>
          <w:rFonts w:asciiTheme="minorHAnsi" w:hAnsiTheme="minorHAnsi"/>
          <w:b/>
          <w:i/>
        </w:rPr>
        <w:t>active staff and li</w:t>
      </w:r>
      <w:r w:rsidR="00AF57A9">
        <w:rPr>
          <w:rFonts w:asciiTheme="minorHAnsi" w:hAnsiTheme="minorHAnsi"/>
          <w:b/>
          <w:i/>
        </w:rPr>
        <w:t>nked to their research</w:t>
      </w:r>
      <w:r w:rsidRPr="00AF57A9">
        <w:rPr>
          <w:rFonts w:asciiTheme="minorHAnsi" w:hAnsiTheme="minorHAnsi"/>
          <w:b/>
          <w:i/>
        </w:rPr>
        <w:t xml:space="preserve"> </w:t>
      </w:r>
    </w:p>
    <w:p w:rsidR="00AF57A9" w:rsidRPr="00AF57A9" w:rsidRDefault="00AF57A9" w:rsidP="00192BCF">
      <w:pPr>
        <w:pStyle w:val="ListParagraph"/>
        <w:numPr>
          <w:ilvl w:val="0"/>
          <w:numId w:val="2"/>
        </w:numPr>
        <w:spacing w:before="240"/>
        <w:rPr>
          <w:rFonts w:asciiTheme="minorHAnsi" w:hAnsiTheme="minorHAnsi"/>
          <w:b/>
          <w:i/>
        </w:rPr>
      </w:pPr>
      <w:r>
        <w:rPr>
          <w:rFonts w:asciiTheme="minorHAnsi" w:hAnsiTheme="minorHAnsi"/>
          <w:b/>
          <w:i/>
        </w:rPr>
        <w:t xml:space="preserve">The curriculum includes courses on research methods </w:t>
      </w:r>
    </w:p>
    <w:p w:rsidR="00192BCF" w:rsidRPr="00D9686F" w:rsidRDefault="00AF57A9" w:rsidP="00AF57A9">
      <w:pPr>
        <w:pStyle w:val="ListParagraph"/>
        <w:numPr>
          <w:ilvl w:val="0"/>
          <w:numId w:val="2"/>
        </w:numPr>
        <w:spacing w:before="240" w:after="0"/>
        <w:rPr>
          <w:rFonts w:asciiTheme="minorHAnsi" w:hAnsiTheme="minorHAnsi"/>
          <w:b/>
          <w:i/>
        </w:rPr>
      </w:pPr>
      <w:r w:rsidRPr="00D9686F">
        <w:rPr>
          <w:rFonts w:asciiTheme="minorHAnsi" w:hAnsiTheme="minorHAnsi"/>
          <w:b/>
          <w:i/>
        </w:rPr>
        <w:t>Students engage</w:t>
      </w:r>
      <w:r w:rsidR="00192BCF" w:rsidRPr="00D9686F">
        <w:rPr>
          <w:rFonts w:asciiTheme="minorHAnsi" w:hAnsiTheme="minorHAnsi"/>
          <w:b/>
          <w:i/>
        </w:rPr>
        <w:t xml:space="preserve"> in research </w:t>
      </w:r>
    </w:p>
    <w:p w:rsidR="00AF57A9" w:rsidRDefault="00192BCF" w:rsidP="00AF57A9">
      <w:pPr>
        <w:pStyle w:val="ListParagraph"/>
        <w:numPr>
          <w:ilvl w:val="0"/>
          <w:numId w:val="2"/>
        </w:numPr>
        <w:spacing w:before="240"/>
        <w:rPr>
          <w:rFonts w:asciiTheme="minorHAnsi" w:hAnsiTheme="minorHAnsi"/>
          <w:b/>
          <w:i/>
        </w:rPr>
      </w:pPr>
      <w:r w:rsidRPr="00D9686F">
        <w:rPr>
          <w:rFonts w:asciiTheme="minorHAnsi" w:hAnsiTheme="minorHAnsi"/>
          <w:b/>
          <w:i/>
        </w:rPr>
        <w:t>Te</w:t>
      </w:r>
      <w:r w:rsidR="00AF57A9" w:rsidRPr="00D9686F">
        <w:rPr>
          <w:rFonts w:asciiTheme="minorHAnsi" w:hAnsiTheme="minorHAnsi"/>
          <w:b/>
          <w:i/>
        </w:rPr>
        <w:t>aching is informed by pedagogic researc</w:t>
      </w:r>
      <w:r w:rsidR="00FF5B46" w:rsidRPr="00D9686F">
        <w:rPr>
          <w:rFonts w:asciiTheme="minorHAnsi" w:hAnsiTheme="minorHAnsi"/>
          <w:b/>
          <w:i/>
        </w:rPr>
        <w:t>h</w:t>
      </w:r>
    </w:p>
    <w:p w:rsidR="00FF5B46" w:rsidRDefault="00AF57A9" w:rsidP="00AF57A9">
      <w:pPr>
        <w:spacing w:after="0"/>
        <w:rPr>
          <w:rFonts w:asciiTheme="minorHAnsi" w:hAnsiTheme="minorHAnsi"/>
        </w:rPr>
      </w:pPr>
      <w:r>
        <w:rPr>
          <w:rFonts w:asciiTheme="minorHAnsi" w:hAnsiTheme="minorHAnsi"/>
        </w:rPr>
        <w:t>We have established strengths in</w:t>
      </w:r>
      <w:r w:rsidR="00FF5B46">
        <w:rPr>
          <w:rFonts w:asciiTheme="minorHAnsi" w:hAnsiTheme="minorHAnsi"/>
        </w:rPr>
        <w:t xml:space="preserve"> relation to this first model, with many</w:t>
      </w:r>
      <w:r w:rsidRPr="00AF57A9">
        <w:rPr>
          <w:rFonts w:asciiTheme="minorHAnsi" w:hAnsiTheme="minorHAnsi"/>
        </w:rPr>
        <w:t xml:space="preserve"> </w:t>
      </w:r>
      <w:r w:rsidR="00DF6519">
        <w:rPr>
          <w:rFonts w:asciiTheme="minorHAnsi" w:hAnsiTheme="minorHAnsi"/>
        </w:rPr>
        <w:t>programmes in which</w:t>
      </w:r>
      <w:r>
        <w:rPr>
          <w:rFonts w:asciiTheme="minorHAnsi" w:hAnsiTheme="minorHAnsi"/>
        </w:rPr>
        <w:t xml:space="preserve"> the</w:t>
      </w:r>
      <w:r w:rsidRPr="00AF57A9">
        <w:rPr>
          <w:rFonts w:asciiTheme="minorHAnsi" w:hAnsiTheme="minorHAnsi"/>
        </w:rPr>
        <w:t xml:space="preserve"> curriculum is designed and delivered by research active staff</w:t>
      </w:r>
      <w:r w:rsidR="00DF6519">
        <w:rPr>
          <w:rFonts w:asciiTheme="minorHAnsi" w:hAnsiTheme="minorHAnsi"/>
        </w:rPr>
        <w:t>,</w:t>
      </w:r>
      <w:r w:rsidRPr="00AF57A9">
        <w:rPr>
          <w:rFonts w:asciiTheme="minorHAnsi" w:hAnsiTheme="minorHAnsi"/>
        </w:rPr>
        <w:t xml:space="preserve"> and linked to their research interests</w:t>
      </w:r>
      <w:r w:rsidR="00FF5B46">
        <w:rPr>
          <w:rFonts w:asciiTheme="minorHAnsi" w:hAnsiTheme="minorHAnsi"/>
        </w:rPr>
        <w:t xml:space="preserve">. But research suggests, also, that students are aware </w:t>
      </w:r>
      <w:r w:rsidR="00FF5B46" w:rsidRPr="00AF57A9">
        <w:rPr>
          <w:rFonts w:asciiTheme="minorHAnsi" w:hAnsiTheme="minorHAnsi"/>
        </w:rPr>
        <w:t>their access to staff is more limited where tutors are busy with research.</w:t>
      </w:r>
      <w:r w:rsidR="00FF5B46">
        <w:rPr>
          <w:rFonts w:asciiTheme="minorHAnsi" w:hAnsiTheme="minorHAnsi"/>
        </w:rPr>
        <w:t xml:space="preserve"> It will thus be important w</w:t>
      </w:r>
      <w:r w:rsidR="00D9686F">
        <w:rPr>
          <w:rFonts w:asciiTheme="minorHAnsi" w:hAnsiTheme="minorHAnsi"/>
        </w:rPr>
        <w:t>ith growing student</w:t>
      </w:r>
      <w:r w:rsidR="00FF5B46">
        <w:rPr>
          <w:rFonts w:asciiTheme="minorHAnsi" w:hAnsiTheme="minorHAnsi"/>
        </w:rPr>
        <w:t xml:space="preserve"> numbers to consider how to continue to offer such curricula without increasing the demands on research-active staff.   </w:t>
      </w:r>
    </w:p>
    <w:p w:rsidR="00280258" w:rsidRDefault="00D9686F" w:rsidP="00280258">
      <w:pPr>
        <w:spacing w:after="0"/>
        <w:rPr>
          <w:rFonts w:asciiTheme="minorHAnsi" w:hAnsiTheme="minorHAnsi"/>
        </w:rPr>
      </w:pPr>
      <w:r>
        <w:rPr>
          <w:rFonts w:asciiTheme="minorHAnsi" w:hAnsiTheme="minorHAnsi"/>
        </w:rPr>
        <w:tab/>
      </w:r>
      <w:r w:rsidR="00280258">
        <w:rPr>
          <w:rFonts w:asciiTheme="minorHAnsi" w:hAnsiTheme="minorHAnsi"/>
        </w:rPr>
        <w:t xml:space="preserve">The second of these models focuses on the processes involved </w:t>
      </w:r>
      <w:r w:rsidR="00280258" w:rsidRPr="00280258">
        <w:rPr>
          <w:rFonts w:asciiTheme="minorHAnsi" w:hAnsiTheme="minorHAnsi"/>
        </w:rPr>
        <w:t>in the production of knowledge.</w:t>
      </w:r>
      <w:r w:rsidR="00280258">
        <w:rPr>
          <w:rFonts w:asciiTheme="minorHAnsi" w:hAnsiTheme="minorHAnsi"/>
        </w:rPr>
        <w:t xml:space="preserve"> Courses </w:t>
      </w:r>
      <w:r w:rsidR="00280258" w:rsidRPr="000C4D81">
        <w:rPr>
          <w:rFonts w:asciiTheme="minorHAnsi" w:hAnsiTheme="minorHAnsi"/>
        </w:rPr>
        <w:t>on research methods are also standard fare, although</w:t>
      </w:r>
      <w:r w:rsidR="00280258">
        <w:rPr>
          <w:rFonts w:asciiTheme="minorHAnsi" w:hAnsiTheme="minorHAnsi"/>
        </w:rPr>
        <w:t xml:space="preserve"> considerable space is often required </w:t>
      </w:r>
      <w:r w:rsidR="00751C7A">
        <w:rPr>
          <w:rFonts w:asciiTheme="minorHAnsi" w:hAnsiTheme="minorHAnsi"/>
        </w:rPr>
        <w:t>to incorporate them into the curriculum.</w:t>
      </w:r>
      <w:r w:rsidR="00280258">
        <w:rPr>
          <w:rFonts w:asciiTheme="minorHAnsi" w:hAnsiTheme="minorHAnsi"/>
        </w:rPr>
        <w:t xml:space="preserve"> </w:t>
      </w:r>
    </w:p>
    <w:p w:rsidR="00D9686F" w:rsidRDefault="00D9686F" w:rsidP="00D9686F">
      <w:pPr>
        <w:spacing w:after="0"/>
        <w:rPr>
          <w:rFonts w:asciiTheme="minorHAnsi" w:hAnsiTheme="minorHAnsi"/>
        </w:rPr>
      </w:pPr>
      <w:r>
        <w:rPr>
          <w:rFonts w:asciiTheme="minorHAnsi" w:hAnsiTheme="minorHAnsi"/>
        </w:rPr>
        <w:tab/>
        <w:t xml:space="preserve">While we will concentrate most </w:t>
      </w:r>
      <w:r w:rsidR="00DF6519">
        <w:rPr>
          <w:rFonts w:asciiTheme="minorHAnsi" w:hAnsiTheme="minorHAnsi"/>
        </w:rPr>
        <w:t>directly in what follows on the</w:t>
      </w:r>
      <w:r>
        <w:rPr>
          <w:rFonts w:asciiTheme="minorHAnsi" w:hAnsiTheme="minorHAnsi"/>
        </w:rPr>
        <w:t xml:space="preserve"> third model, it is helpful also to remember that teaching can be informed by s</w:t>
      </w:r>
      <w:r w:rsidRPr="00D9686F">
        <w:rPr>
          <w:rFonts w:asciiTheme="minorHAnsi" w:hAnsiTheme="minorHAnsi"/>
        </w:rPr>
        <w:t>ystematic inquiry into the teac</w:t>
      </w:r>
      <w:r>
        <w:rPr>
          <w:rFonts w:asciiTheme="minorHAnsi" w:hAnsiTheme="minorHAnsi"/>
        </w:rPr>
        <w:t>hing and learning process</w:t>
      </w:r>
      <w:r w:rsidRPr="00D9686F">
        <w:rPr>
          <w:rFonts w:asciiTheme="minorHAnsi" w:hAnsiTheme="minorHAnsi"/>
        </w:rPr>
        <w:t>.</w:t>
      </w:r>
      <w:r>
        <w:rPr>
          <w:rFonts w:asciiTheme="minorHAnsi" w:hAnsiTheme="minorHAnsi"/>
        </w:rPr>
        <w:t xml:space="preserve"> </w:t>
      </w:r>
      <w:r w:rsidR="00DF6519">
        <w:rPr>
          <w:rFonts w:asciiTheme="minorHAnsi" w:hAnsiTheme="minorHAnsi"/>
        </w:rPr>
        <w:t xml:space="preserve">Certainly, if we are to integrate </w:t>
      </w:r>
      <w:r>
        <w:rPr>
          <w:rFonts w:asciiTheme="minorHAnsi" w:hAnsiTheme="minorHAnsi"/>
        </w:rPr>
        <w:t xml:space="preserve">teaching and research </w:t>
      </w:r>
      <w:r w:rsidR="00DF6519">
        <w:rPr>
          <w:rFonts w:asciiTheme="minorHAnsi" w:hAnsiTheme="minorHAnsi"/>
        </w:rPr>
        <w:t>by involving</w:t>
      </w:r>
      <w:r>
        <w:rPr>
          <w:rFonts w:asciiTheme="minorHAnsi" w:hAnsiTheme="minorHAnsi"/>
        </w:rPr>
        <w:t xml:space="preserve"> students as active researchers, then we need an evidence base on which to </w:t>
      </w:r>
      <w:r w:rsidR="00DF6519">
        <w:rPr>
          <w:rFonts w:asciiTheme="minorHAnsi" w:hAnsiTheme="minorHAnsi"/>
        </w:rPr>
        <w:t>proceed</w:t>
      </w:r>
      <w:r>
        <w:rPr>
          <w:rFonts w:asciiTheme="minorHAnsi" w:hAnsiTheme="minorHAnsi"/>
        </w:rPr>
        <w:t xml:space="preserve">. </w:t>
      </w:r>
      <w:r w:rsidR="00DF6519">
        <w:rPr>
          <w:rFonts w:asciiTheme="minorHAnsi" w:hAnsiTheme="minorHAnsi"/>
        </w:rPr>
        <w:t>And while these models are presented here as distinct, it is important to remember also that suc</w:t>
      </w:r>
      <w:r w:rsidR="00F10376">
        <w:rPr>
          <w:rFonts w:asciiTheme="minorHAnsi" w:hAnsiTheme="minorHAnsi"/>
        </w:rPr>
        <w:t>c</w:t>
      </w:r>
      <w:r w:rsidR="00DF6519">
        <w:rPr>
          <w:rFonts w:asciiTheme="minorHAnsi" w:hAnsiTheme="minorHAnsi"/>
        </w:rPr>
        <w:t xml:space="preserve">essful developments are often </w:t>
      </w:r>
      <w:r w:rsidR="00DF6519">
        <w:rPr>
          <w:rFonts w:asciiTheme="minorHAnsi" w:hAnsiTheme="minorHAnsi"/>
        </w:rPr>
        <w:lastRenderedPageBreak/>
        <w:t xml:space="preserve">characterised by all of these models, as active researchers take an informed approach to working with students as they actively produce their own knowledge.   </w:t>
      </w:r>
    </w:p>
    <w:p w:rsidR="00D9686F" w:rsidRDefault="00D9686F" w:rsidP="00D9686F">
      <w:pPr>
        <w:spacing w:after="0"/>
        <w:rPr>
          <w:rFonts w:asciiTheme="minorHAnsi" w:hAnsiTheme="minorHAnsi"/>
        </w:rPr>
      </w:pPr>
    </w:p>
    <w:p w:rsidR="00D9686F" w:rsidRDefault="00D9686F" w:rsidP="00B55B34">
      <w:pPr>
        <w:pStyle w:val="ListParagraph"/>
        <w:numPr>
          <w:ilvl w:val="0"/>
          <w:numId w:val="11"/>
        </w:numPr>
        <w:spacing w:after="0" w:line="240" w:lineRule="auto"/>
        <w:rPr>
          <w:rFonts w:asciiTheme="minorHAnsi" w:hAnsiTheme="minorHAnsi" w:cs="Arial"/>
          <w:b/>
          <w:sz w:val="28"/>
          <w:szCs w:val="28"/>
        </w:rPr>
      </w:pPr>
      <w:r w:rsidRPr="00D9686F">
        <w:rPr>
          <w:rFonts w:asciiTheme="minorHAnsi" w:hAnsiTheme="minorHAnsi" w:cs="Arial"/>
          <w:b/>
          <w:sz w:val="28"/>
          <w:szCs w:val="28"/>
        </w:rPr>
        <w:t>E</w:t>
      </w:r>
      <w:r w:rsidR="00280258" w:rsidRPr="00D9686F">
        <w:rPr>
          <w:rFonts w:asciiTheme="minorHAnsi" w:hAnsiTheme="minorHAnsi" w:cs="Arial"/>
          <w:b/>
          <w:sz w:val="28"/>
          <w:szCs w:val="28"/>
        </w:rPr>
        <w:t xml:space="preserve">ngaging students in research </w:t>
      </w:r>
    </w:p>
    <w:p w:rsidR="00D9686F" w:rsidRDefault="00D9686F" w:rsidP="00D9686F">
      <w:pPr>
        <w:pStyle w:val="ListParagraph"/>
        <w:spacing w:after="0" w:line="240" w:lineRule="auto"/>
        <w:ind w:left="360"/>
        <w:rPr>
          <w:rFonts w:asciiTheme="minorHAnsi" w:hAnsiTheme="minorHAnsi" w:cs="Arial"/>
          <w:b/>
          <w:sz w:val="28"/>
          <w:szCs w:val="28"/>
        </w:rPr>
      </w:pPr>
    </w:p>
    <w:p w:rsidR="00B55B34" w:rsidRDefault="00D9686F" w:rsidP="00D9686F">
      <w:pPr>
        <w:pStyle w:val="ListParagraph"/>
        <w:spacing w:after="0" w:line="240" w:lineRule="auto"/>
        <w:ind w:left="0"/>
        <w:rPr>
          <w:rFonts w:asciiTheme="minorHAnsi" w:hAnsiTheme="minorHAnsi"/>
        </w:rPr>
      </w:pPr>
      <w:r w:rsidRPr="00D9686F">
        <w:rPr>
          <w:rFonts w:asciiTheme="minorHAnsi" w:hAnsiTheme="minorHAnsi"/>
        </w:rPr>
        <w:t xml:space="preserve">The model of </w:t>
      </w:r>
      <w:r>
        <w:rPr>
          <w:rFonts w:asciiTheme="minorHAnsi" w:hAnsiTheme="minorHAnsi"/>
        </w:rPr>
        <w:t xml:space="preserve">the research-teaching nexus that offers most promise for student learning is one in which the curriculum is based on </w:t>
      </w:r>
      <w:r w:rsidRPr="00D9686F">
        <w:rPr>
          <w:rFonts w:asciiTheme="minorHAnsi" w:hAnsiTheme="minorHAnsi"/>
        </w:rPr>
        <w:t>students engaging in research or aspects of the research process, especially whe</w:t>
      </w:r>
      <w:r>
        <w:rPr>
          <w:rFonts w:asciiTheme="minorHAnsi" w:hAnsiTheme="minorHAnsi"/>
        </w:rPr>
        <w:t>re students direct the activity. Such activity clearly goes b</w:t>
      </w:r>
      <w:r w:rsidR="00F10376">
        <w:rPr>
          <w:rFonts w:asciiTheme="minorHAnsi" w:hAnsiTheme="minorHAnsi"/>
        </w:rPr>
        <w:t>e</w:t>
      </w:r>
      <w:r>
        <w:rPr>
          <w:rFonts w:asciiTheme="minorHAnsi" w:hAnsiTheme="minorHAnsi"/>
        </w:rPr>
        <w:t xml:space="preserve">yond </w:t>
      </w:r>
      <w:r w:rsidR="00B55B34" w:rsidRPr="000C4D81">
        <w:rPr>
          <w:rFonts w:asciiTheme="minorHAnsi" w:hAnsiTheme="minorHAnsi"/>
        </w:rPr>
        <w:t>the fi</w:t>
      </w:r>
      <w:r>
        <w:rPr>
          <w:rFonts w:asciiTheme="minorHAnsi" w:hAnsiTheme="minorHAnsi"/>
        </w:rPr>
        <w:t>nal year project or dissertation</w:t>
      </w:r>
      <w:r w:rsidR="00B55B34" w:rsidRPr="000C4D81">
        <w:rPr>
          <w:rFonts w:asciiTheme="minorHAnsi" w:hAnsiTheme="minorHAnsi"/>
        </w:rPr>
        <w:t xml:space="preserve">. </w:t>
      </w:r>
      <w:r>
        <w:rPr>
          <w:rFonts w:asciiTheme="minorHAnsi" w:hAnsiTheme="minorHAnsi"/>
        </w:rPr>
        <w:t xml:space="preserve"> The ta</w:t>
      </w:r>
      <w:r w:rsidR="00F10376">
        <w:rPr>
          <w:rFonts w:asciiTheme="minorHAnsi" w:hAnsiTheme="minorHAnsi"/>
        </w:rPr>
        <w:t>ble below outlines a range of w</w:t>
      </w:r>
      <w:r>
        <w:rPr>
          <w:rFonts w:asciiTheme="minorHAnsi" w:hAnsiTheme="minorHAnsi"/>
        </w:rPr>
        <w:t>a</w:t>
      </w:r>
      <w:r w:rsidR="00F10376">
        <w:rPr>
          <w:rFonts w:asciiTheme="minorHAnsi" w:hAnsiTheme="minorHAnsi"/>
        </w:rPr>
        <w:t>y</w:t>
      </w:r>
      <w:r>
        <w:rPr>
          <w:rFonts w:asciiTheme="minorHAnsi" w:hAnsiTheme="minorHAnsi"/>
        </w:rPr>
        <w:t xml:space="preserve">s in which students </w:t>
      </w:r>
      <w:r w:rsidR="00F10376">
        <w:rPr>
          <w:rFonts w:asciiTheme="minorHAnsi" w:hAnsiTheme="minorHAnsi"/>
        </w:rPr>
        <w:t>can become involved in res</w:t>
      </w:r>
      <w:r>
        <w:rPr>
          <w:rFonts w:asciiTheme="minorHAnsi" w:hAnsiTheme="minorHAnsi"/>
        </w:rPr>
        <w:t>e</w:t>
      </w:r>
      <w:r w:rsidR="00F10376">
        <w:rPr>
          <w:rFonts w:asciiTheme="minorHAnsi" w:hAnsiTheme="minorHAnsi"/>
        </w:rPr>
        <w:t>a</w:t>
      </w:r>
      <w:r>
        <w:rPr>
          <w:rFonts w:asciiTheme="minorHAnsi" w:hAnsiTheme="minorHAnsi"/>
        </w:rPr>
        <w:t xml:space="preserve">rch across their entire programme. </w:t>
      </w:r>
    </w:p>
    <w:p w:rsidR="00B55B34" w:rsidRPr="000C4D81" w:rsidRDefault="00B55B34" w:rsidP="00B55B34">
      <w:pPr>
        <w:spacing w:after="0"/>
        <w:rPr>
          <w:rFonts w:asciiTheme="minorHAnsi" w:hAnsiTheme="minorHAnsi"/>
        </w:rPr>
      </w:pPr>
    </w:p>
    <w:tbl>
      <w:tblPr>
        <w:tblW w:w="4433" w:type="pct"/>
        <w:jc w:val="center"/>
        <w:tblCellSpacing w:w="42" w:type="dxa"/>
        <w:tblInd w:w="451" w:type="dxa"/>
        <w:tblBorders>
          <w:top w:val="single" w:sz="8" w:space="0" w:color="000000"/>
          <w:bottom w:val="single" w:sz="8" w:space="0" w:color="000000"/>
        </w:tblBorders>
        <w:tblLook w:val="0600"/>
      </w:tblPr>
      <w:tblGrid>
        <w:gridCol w:w="2951"/>
        <w:gridCol w:w="5392"/>
      </w:tblGrid>
      <w:tr w:rsidR="00B55B34" w:rsidRPr="000C4D81" w:rsidTr="00D9686F">
        <w:trPr>
          <w:tblCellSpacing w:w="42" w:type="dxa"/>
          <w:jc w:val="center"/>
        </w:trPr>
        <w:tc>
          <w:tcPr>
            <w:tcW w:w="1693" w:type="pct"/>
            <w:tcBorders>
              <w:top w:val="single" w:sz="8" w:space="0" w:color="000000"/>
            </w:tcBorders>
          </w:tcPr>
          <w:p w:rsidR="00B55B34" w:rsidRPr="000C4D81" w:rsidRDefault="00B55B34" w:rsidP="00D9686F">
            <w:pPr>
              <w:spacing w:after="0" w:line="240" w:lineRule="auto"/>
              <w:rPr>
                <w:rFonts w:asciiTheme="minorHAnsi" w:hAnsiTheme="minorHAnsi"/>
                <w:i/>
                <w:color w:val="000000"/>
              </w:rPr>
            </w:pPr>
            <w:r w:rsidRPr="000C4D81">
              <w:rPr>
                <w:rFonts w:asciiTheme="minorHAnsi" w:hAnsiTheme="minorHAnsi"/>
                <w:i/>
                <w:color w:val="000000"/>
              </w:rPr>
              <w:t xml:space="preserve">Learning based on a process of research or  inquiry </w:t>
            </w:r>
          </w:p>
        </w:tc>
        <w:tc>
          <w:tcPr>
            <w:tcW w:w="3156" w:type="pct"/>
            <w:tcBorders>
              <w:top w:val="single" w:sz="8" w:space="0" w:color="000000"/>
            </w:tcBorders>
          </w:tcPr>
          <w:p w:rsidR="00B55B34" w:rsidRPr="000C4D81" w:rsidRDefault="00B55B34" w:rsidP="00D9686F">
            <w:pPr>
              <w:spacing w:after="0" w:line="240" w:lineRule="auto"/>
              <w:rPr>
                <w:rFonts w:asciiTheme="minorHAnsi" w:hAnsiTheme="minorHAnsi"/>
                <w:color w:val="000000"/>
              </w:rPr>
            </w:pPr>
            <w:r w:rsidRPr="000C4D81">
              <w:rPr>
                <w:rFonts w:asciiTheme="minorHAnsi" w:hAnsiTheme="minorHAnsi"/>
                <w:color w:val="000000"/>
              </w:rPr>
              <w:t xml:space="preserve">Problem-based learning, project work, group inquiries, small-scale investigations, case studies.   </w:t>
            </w:r>
          </w:p>
        </w:tc>
      </w:tr>
      <w:tr w:rsidR="00B55B34" w:rsidRPr="000C4D81" w:rsidTr="00D9686F">
        <w:trPr>
          <w:tblCellSpacing w:w="42" w:type="dxa"/>
          <w:jc w:val="center"/>
        </w:trPr>
        <w:tc>
          <w:tcPr>
            <w:tcW w:w="1693" w:type="pct"/>
            <w:tcBorders>
              <w:bottom w:val="single" w:sz="8" w:space="0" w:color="000000"/>
            </w:tcBorders>
          </w:tcPr>
          <w:p w:rsidR="00B55B34" w:rsidRPr="000C4D81" w:rsidRDefault="00B55B34" w:rsidP="00D9686F">
            <w:pPr>
              <w:spacing w:after="0" w:line="240" w:lineRule="auto"/>
              <w:rPr>
                <w:rFonts w:asciiTheme="minorHAnsi" w:hAnsiTheme="minorHAnsi"/>
                <w:i/>
                <w:color w:val="000000"/>
              </w:rPr>
            </w:pPr>
            <w:r w:rsidRPr="000C4D81">
              <w:rPr>
                <w:rFonts w:asciiTheme="minorHAnsi" w:hAnsiTheme="minorHAnsi"/>
                <w:i/>
                <w:color w:val="000000"/>
              </w:rPr>
              <w:t xml:space="preserve">Learning based on an aspect of the research process </w:t>
            </w:r>
          </w:p>
        </w:tc>
        <w:tc>
          <w:tcPr>
            <w:tcW w:w="3156" w:type="pct"/>
            <w:tcBorders>
              <w:bottom w:val="single" w:sz="8" w:space="0" w:color="000000"/>
            </w:tcBorders>
          </w:tcPr>
          <w:p w:rsidR="00B55B34" w:rsidRPr="000C4D81" w:rsidRDefault="00B55B34" w:rsidP="00D9686F">
            <w:pPr>
              <w:spacing w:after="0" w:line="240" w:lineRule="auto"/>
              <w:rPr>
                <w:rFonts w:asciiTheme="minorHAnsi" w:hAnsiTheme="minorHAnsi"/>
                <w:color w:val="000000"/>
              </w:rPr>
            </w:pPr>
            <w:r w:rsidRPr="000C4D81">
              <w:rPr>
                <w:rFonts w:asciiTheme="minorHAnsi" w:hAnsiTheme="minorHAnsi"/>
                <w:color w:val="000000"/>
              </w:rPr>
              <w:t>Discussion of research papers, participation in ethics committees, field work, laboratory work, data collection and analysis, peer editing, peer review, engagement with research seminars, presentations, student conferences, student journals.</w:t>
            </w:r>
          </w:p>
        </w:tc>
      </w:tr>
    </w:tbl>
    <w:p w:rsidR="00B55B34" w:rsidRPr="000C4D81" w:rsidRDefault="00B55B34" w:rsidP="00B55B34">
      <w:pPr>
        <w:spacing w:before="240"/>
        <w:rPr>
          <w:rFonts w:asciiTheme="minorHAnsi" w:hAnsiTheme="minorHAnsi"/>
          <w:i/>
        </w:rPr>
      </w:pPr>
      <w:r w:rsidRPr="000C4D81">
        <w:rPr>
          <w:rFonts w:asciiTheme="minorHAnsi" w:hAnsiTheme="minorHAnsi"/>
          <w:i/>
        </w:rPr>
        <w:t xml:space="preserve">Table:  Learning based around students engaging in research or aspects of the research process   </w:t>
      </w:r>
    </w:p>
    <w:p w:rsidR="00DF6519" w:rsidRPr="00DF6519" w:rsidRDefault="00DF6519" w:rsidP="00B55B34">
      <w:pPr>
        <w:pStyle w:val="ListParagraph"/>
        <w:spacing w:after="60"/>
        <w:ind w:left="0"/>
        <w:rPr>
          <w:rFonts w:asciiTheme="minorHAnsi" w:hAnsiTheme="minorHAnsi"/>
          <w:b/>
        </w:rPr>
      </w:pPr>
      <w:r w:rsidRPr="00DF6519">
        <w:rPr>
          <w:rFonts w:asciiTheme="minorHAnsi" w:hAnsiTheme="minorHAnsi"/>
          <w:b/>
        </w:rPr>
        <w:t>Coping with the additional demands</w:t>
      </w:r>
    </w:p>
    <w:p w:rsidR="00DF6519" w:rsidRDefault="00935DC0" w:rsidP="00B55B34">
      <w:pPr>
        <w:pStyle w:val="ListParagraph"/>
        <w:spacing w:after="60"/>
        <w:ind w:left="0"/>
        <w:rPr>
          <w:rFonts w:asciiTheme="minorHAnsi" w:hAnsiTheme="minorHAnsi"/>
        </w:rPr>
      </w:pPr>
      <w:r>
        <w:rPr>
          <w:rFonts w:asciiTheme="minorHAnsi" w:hAnsiTheme="minorHAnsi"/>
        </w:rPr>
        <w:t>Clearly, this approach</w:t>
      </w:r>
      <w:r w:rsidR="00D9686F">
        <w:rPr>
          <w:rFonts w:asciiTheme="minorHAnsi" w:hAnsiTheme="minorHAnsi"/>
        </w:rPr>
        <w:t xml:space="preserve"> pose</w:t>
      </w:r>
      <w:r>
        <w:rPr>
          <w:rFonts w:asciiTheme="minorHAnsi" w:hAnsiTheme="minorHAnsi"/>
        </w:rPr>
        <w:t>s</w:t>
      </w:r>
      <w:r w:rsidR="00D9686F">
        <w:rPr>
          <w:rFonts w:asciiTheme="minorHAnsi" w:hAnsiTheme="minorHAnsi"/>
        </w:rPr>
        <w:t xml:space="preserve"> significant demands for </w:t>
      </w:r>
      <w:r>
        <w:rPr>
          <w:rFonts w:asciiTheme="minorHAnsi" w:hAnsiTheme="minorHAnsi"/>
        </w:rPr>
        <w:t xml:space="preserve">both </w:t>
      </w:r>
      <w:r w:rsidR="00D9686F">
        <w:rPr>
          <w:rFonts w:asciiTheme="minorHAnsi" w:hAnsiTheme="minorHAnsi"/>
        </w:rPr>
        <w:t>colleagues</w:t>
      </w:r>
      <w:r>
        <w:rPr>
          <w:rFonts w:asciiTheme="minorHAnsi" w:hAnsiTheme="minorHAnsi"/>
        </w:rPr>
        <w:t xml:space="preserve"> and students</w:t>
      </w:r>
      <w:r w:rsidR="00D9686F">
        <w:rPr>
          <w:rFonts w:asciiTheme="minorHAnsi" w:hAnsiTheme="minorHAnsi"/>
        </w:rPr>
        <w:t>.</w:t>
      </w:r>
      <w:r>
        <w:rPr>
          <w:rFonts w:asciiTheme="minorHAnsi" w:hAnsiTheme="minorHAnsi"/>
        </w:rPr>
        <w:t xml:space="preserve"> Jenkins and Healy (2009) summarises research, for instance, that suggests that w</w:t>
      </w:r>
      <w:r w:rsidRPr="000C4D81">
        <w:rPr>
          <w:rFonts w:asciiTheme="minorHAnsi" w:hAnsiTheme="minorHAnsi"/>
        </w:rPr>
        <w:t>eaker students may shy away from more demanding patterns of learning</w:t>
      </w:r>
      <w:r>
        <w:rPr>
          <w:rFonts w:asciiTheme="minorHAnsi" w:hAnsiTheme="minorHAnsi"/>
        </w:rPr>
        <w:t xml:space="preserve"> or that students choose modules or tasks that result in higher grades for the same effort.  And it is clear that staff must devote both time and imagination to devise appropriate learning experiences. A separate briefing note addresses ways forward in response to such </w:t>
      </w:r>
      <w:r w:rsidR="00F10376">
        <w:rPr>
          <w:rFonts w:asciiTheme="minorHAnsi" w:hAnsiTheme="minorHAnsi"/>
        </w:rPr>
        <w:t>i</w:t>
      </w:r>
      <w:r>
        <w:rPr>
          <w:rFonts w:asciiTheme="minorHAnsi" w:hAnsiTheme="minorHAnsi"/>
        </w:rPr>
        <w:t>ssues.</w:t>
      </w:r>
    </w:p>
    <w:p w:rsidR="00D9686F" w:rsidRDefault="00935DC0" w:rsidP="00B55B34">
      <w:pPr>
        <w:pStyle w:val="ListParagraph"/>
        <w:spacing w:after="60"/>
        <w:ind w:left="0"/>
        <w:rPr>
          <w:rFonts w:asciiTheme="minorHAnsi" w:hAnsiTheme="minorHAnsi"/>
        </w:rPr>
      </w:pPr>
      <w:r>
        <w:rPr>
          <w:rFonts w:asciiTheme="minorHAnsi" w:hAnsiTheme="minorHAnsi"/>
        </w:rPr>
        <w:t xml:space="preserve"> </w:t>
      </w:r>
    </w:p>
    <w:p w:rsidR="00DF6519" w:rsidRPr="00DF6519" w:rsidRDefault="00DF6519" w:rsidP="00B55B34">
      <w:pPr>
        <w:pStyle w:val="ListParagraph"/>
        <w:spacing w:after="60"/>
        <w:ind w:left="0"/>
        <w:rPr>
          <w:rFonts w:asciiTheme="minorHAnsi" w:hAnsiTheme="minorHAnsi"/>
          <w:b/>
        </w:rPr>
      </w:pPr>
      <w:r w:rsidRPr="00DF6519">
        <w:rPr>
          <w:rFonts w:asciiTheme="minorHAnsi" w:hAnsiTheme="minorHAnsi"/>
          <w:b/>
        </w:rPr>
        <w:t>Reasons to engage</w:t>
      </w:r>
    </w:p>
    <w:p w:rsidR="00935DC0" w:rsidRDefault="00935DC0" w:rsidP="00935DC0">
      <w:pPr>
        <w:pStyle w:val="ListParagraph"/>
        <w:spacing w:after="60"/>
        <w:ind w:left="0"/>
        <w:rPr>
          <w:rFonts w:asciiTheme="minorHAnsi" w:hAnsiTheme="minorHAnsi"/>
        </w:rPr>
      </w:pPr>
      <w:r>
        <w:rPr>
          <w:rFonts w:asciiTheme="minorHAnsi" w:hAnsiTheme="minorHAnsi"/>
        </w:rPr>
        <w:t>But given this context it is clearly important that we identify</w:t>
      </w:r>
      <w:r>
        <w:rPr>
          <w:rFonts w:asciiTheme="minorHAnsi" w:eastAsia="Times New Roman" w:hAnsiTheme="minorHAnsi"/>
        </w:rPr>
        <w:t xml:space="preserve"> reasons that are felt to be compelling </w:t>
      </w:r>
      <w:r w:rsidRPr="000C4D81">
        <w:rPr>
          <w:rFonts w:asciiTheme="minorHAnsi" w:eastAsia="Times New Roman" w:hAnsiTheme="minorHAnsi"/>
        </w:rPr>
        <w:t>at departmental level for any greater use of</w:t>
      </w:r>
      <w:r>
        <w:rPr>
          <w:rFonts w:asciiTheme="minorHAnsi" w:eastAsia="Times New Roman" w:hAnsiTheme="minorHAnsi"/>
        </w:rPr>
        <w:t xml:space="preserve"> such </w:t>
      </w:r>
      <w:r w:rsidRPr="000C4D81">
        <w:rPr>
          <w:rFonts w:asciiTheme="minorHAnsi" w:eastAsia="Times New Roman" w:hAnsiTheme="minorHAnsi"/>
        </w:rPr>
        <w:t>learning.</w:t>
      </w:r>
      <w:r>
        <w:rPr>
          <w:rFonts w:asciiTheme="minorHAnsi" w:eastAsia="Times New Roman" w:hAnsiTheme="minorHAnsi"/>
        </w:rPr>
        <w:t xml:space="preserve"> Departments may wish to consider their patterns of student recruitment, as pr</w:t>
      </w:r>
      <w:r w:rsidRPr="000C4D81">
        <w:rPr>
          <w:rFonts w:asciiTheme="minorHAnsi" w:eastAsia="Times New Roman" w:hAnsiTheme="minorHAnsi"/>
        </w:rPr>
        <w:t xml:space="preserve">ogrammes that involve extensive use of research-led learning are often seen as more attractive by potential students, improving the levels of recruitment of high calibre or international students. </w:t>
      </w:r>
      <w:r>
        <w:rPr>
          <w:rFonts w:asciiTheme="minorHAnsi" w:eastAsia="Times New Roman" w:hAnsiTheme="minorHAnsi"/>
        </w:rPr>
        <w:t>Students who have become interested in research are also more likely to progress to p</w:t>
      </w:r>
      <w:r w:rsidRPr="000C4D81">
        <w:rPr>
          <w:rFonts w:asciiTheme="minorHAnsi" w:hAnsiTheme="minorHAnsi"/>
        </w:rPr>
        <w:t>ostgraduate</w:t>
      </w:r>
      <w:r>
        <w:rPr>
          <w:rFonts w:asciiTheme="minorHAnsi" w:hAnsiTheme="minorHAnsi"/>
        </w:rPr>
        <w:t xml:space="preserve"> study. </w:t>
      </w:r>
      <w:r w:rsidRPr="000C4D81">
        <w:rPr>
          <w:rFonts w:asciiTheme="minorHAnsi" w:eastAsia="Times New Roman" w:hAnsiTheme="minorHAnsi"/>
        </w:rPr>
        <w:t>Or a profess</w:t>
      </w:r>
      <w:r w:rsidR="00F10376">
        <w:rPr>
          <w:rFonts w:asciiTheme="minorHAnsi" w:eastAsia="Times New Roman" w:hAnsiTheme="minorHAnsi"/>
        </w:rPr>
        <w:t>ion</w:t>
      </w:r>
      <w:r w:rsidRPr="000C4D81">
        <w:rPr>
          <w:rFonts w:asciiTheme="minorHAnsi" w:eastAsia="Times New Roman" w:hAnsiTheme="minorHAnsi"/>
        </w:rPr>
        <w:t xml:space="preserve">al body may be pushing for students to master a range of skills and capacities that are best developed through experience of research. </w:t>
      </w:r>
      <w:r>
        <w:rPr>
          <w:rFonts w:asciiTheme="minorHAnsi" w:eastAsia="Times New Roman" w:hAnsiTheme="minorHAnsi"/>
        </w:rPr>
        <w:t xml:space="preserve">Reasons such as these </w:t>
      </w:r>
      <w:r w:rsidR="001A6D13">
        <w:rPr>
          <w:rFonts w:asciiTheme="minorHAnsi" w:eastAsia="Times New Roman" w:hAnsiTheme="minorHAnsi"/>
        </w:rPr>
        <w:t xml:space="preserve">will </w:t>
      </w:r>
      <w:r>
        <w:rPr>
          <w:rFonts w:asciiTheme="minorHAnsi" w:eastAsia="Times New Roman" w:hAnsiTheme="minorHAnsi"/>
        </w:rPr>
        <w:t xml:space="preserve">be needed in addition to the </w:t>
      </w:r>
      <w:r>
        <w:rPr>
          <w:rFonts w:asciiTheme="minorHAnsi" w:hAnsiTheme="minorHAnsi"/>
        </w:rPr>
        <w:t>institutional case or to factors such as improved student employabi</w:t>
      </w:r>
      <w:r w:rsidR="00F10376">
        <w:rPr>
          <w:rFonts w:asciiTheme="minorHAnsi" w:hAnsiTheme="minorHAnsi"/>
        </w:rPr>
        <w:t>l</w:t>
      </w:r>
      <w:r>
        <w:rPr>
          <w:rFonts w:asciiTheme="minorHAnsi" w:hAnsiTheme="minorHAnsi"/>
        </w:rPr>
        <w:t xml:space="preserve">ity, enhanced student engagement, or a better match with intended learning outcomes. </w:t>
      </w:r>
    </w:p>
    <w:p w:rsidR="000C4D81" w:rsidRPr="000C4D81" w:rsidRDefault="000C4D81" w:rsidP="00B55B34">
      <w:pPr>
        <w:pStyle w:val="ListParagraph"/>
        <w:spacing w:after="0"/>
        <w:rPr>
          <w:rFonts w:asciiTheme="minorHAnsi" w:hAnsiTheme="minorHAnsi"/>
        </w:rPr>
      </w:pPr>
    </w:p>
    <w:p w:rsidR="00B55B34" w:rsidRPr="000C4D81" w:rsidRDefault="00B55B34" w:rsidP="00B55B34">
      <w:pPr>
        <w:spacing w:after="60"/>
        <w:rPr>
          <w:rFonts w:asciiTheme="minorHAnsi" w:hAnsiTheme="minorHAnsi"/>
          <w:b/>
        </w:rPr>
      </w:pPr>
      <w:r w:rsidRPr="000C4D81">
        <w:rPr>
          <w:rFonts w:asciiTheme="minorHAnsi" w:hAnsiTheme="minorHAnsi"/>
          <w:b/>
        </w:rPr>
        <w:t>References</w:t>
      </w:r>
      <w:r w:rsidR="00FF5B46">
        <w:rPr>
          <w:rFonts w:asciiTheme="minorHAnsi" w:hAnsiTheme="minorHAnsi"/>
          <w:b/>
        </w:rPr>
        <w:t>/Further reading</w:t>
      </w:r>
    </w:p>
    <w:p w:rsidR="00B55B34" w:rsidRPr="000C4D81" w:rsidRDefault="00B55B34" w:rsidP="00B55B34">
      <w:pPr>
        <w:spacing w:after="0"/>
        <w:ind w:left="340" w:hanging="340"/>
        <w:rPr>
          <w:rFonts w:asciiTheme="minorHAnsi" w:hAnsiTheme="minorHAnsi"/>
        </w:rPr>
      </w:pPr>
      <w:r w:rsidRPr="000C4D81">
        <w:rPr>
          <w:rFonts w:asciiTheme="minorHAnsi" w:hAnsiTheme="minorHAnsi"/>
        </w:rPr>
        <w:t xml:space="preserve">The Boyer Commission on Educating Undergraduates in the Research University (2001) </w:t>
      </w:r>
      <w:r w:rsidRPr="000C4D81">
        <w:rPr>
          <w:rFonts w:asciiTheme="minorHAnsi" w:hAnsiTheme="minorHAnsi"/>
          <w:i/>
        </w:rPr>
        <w:t>A Blueprint for America’s Research Universities</w:t>
      </w:r>
      <w:r w:rsidRPr="000C4D81">
        <w:rPr>
          <w:rFonts w:asciiTheme="minorHAnsi" w:hAnsiTheme="minorHAnsi"/>
        </w:rPr>
        <w:t xml:space="preserve">, </w:t>
      </w:r>
      <w:proofErr w:type="spellStart"/>
      <w:r w:rsidRPr="000C4D81">
        <w:rPr>
          <w:rFonts w:asciiTheme="minorHAnsi" w:hAnsiTheme="minorHAnsi"/>
        </w:rPr>
        <w:t>Stoneybrook</w:t>
      </w:r>
      <w:proofErr w:type="spellEnd"/>
      <w:r w:rsidRPr="000C4D81">
        <w:rPr>
          <w:rFonts w:asciiTheme="minorHAnsi" w:hAnsiTheme="minorHAnsi"/>
        </w:rPr>
        <w:t xml:space="preserve">, New York. </w:t>
      </w:r>
      <w:hyperlink r:id="rId9" w:history="1">
        <w:r w:rsidRPr="000C4D81">
          <w:rPr>
            <w:rStyle w:val="Hyperlink"/>
            <w:rFonts w:asciiTheme="minorHAnsi" w:hAnsiTheme="minorHAnsi"/>
          </w:rPr>
          <w:t>http://notes.cc.sunysb.edu/Pres/boyer.nsf/webform/contents</w:t>
        </w:r>
      </w:hyperlink>
      <w:r w:rsidRPr="000C4D81">
        <w:rPr>
          <w:rFonts w:asciiTheme="minorHAnsi" w:hAnsiTheme="minorHAnsi"/>
        </w:rPr>
        <w:t>.</w:t>
      </w:r>
    </w:p>
    <w:p w:rsidR="00B55B34" w:rsidRDefault="00D7641F" w:rsidP="00B55B34">
      <w:pPr>
        <w:spacing w:after="0"/>
        <w:ind w:left="340" w:hanging="340"/>
        <w:rPr>
          <w:rFonts w:asciiTheme="minorHAnsi" w:hAnsiTheme="minorHAnsi"/>
        </w:rPr>
      </w:pPr>
      <w:r w:rsidRPr="000C4D81">
        <w:rPr>
          <w:rFonts w:asciiTheme="minorHAnsi" w:hAnsiTheme="minorHAnsi"/>
        </w:rPr>
        <w:lastRenderedPageBreak/>
        <w:t>Jenkins, A and Healey M (2009</w:t>
      </w:r>
      <w:r w:rsidR="00B55B34" w:rsidRPr="000C4D81">
        <w:rPr>
          <w:rFonts w:asciiTheme="minorHAnsi" w:hAnsiTheme="minorHAnsi"/>
        </w:rPr>
        <w:t>) Developing the student as a researcher through the curriculum, in Rust, C (</w:t>
      </w:r>
      <w:proofErr w:type="spellStart"/>
      <w:proofErr w:type="gramStart"/>
      <w:r w:rsidR="00B55B34" w:rsidRPr="000C4D81">
        <w:rPr>
          <w:rFonts w:asciiTheme="minorHAnsi" w:hAnsiTheme="minorHAnsi"/>
        </w:rPr>
        <w:t>ed</w:t>
      </w:r>
      <w:proofErr w:type="spellEnd"/>
      <w:proofErr w:type="gramEnd"/>
      <w:r w:rsidR="00B55B34" w:rsidRPr="000C4D81">
        <w:rPr>
          <w:rFonts w:asciiTheme="minorHAnsi" w:hAnsiTheme="minorHAnsi"/>
        </w:rPr>
        <w:t xml:space="preserve">,) </w:t>
      </w:r>
      <w:r w:rsidR="00B55B34" w:rsidRPr="000C4D81">
        <w:rPr>
          <w:rFonts w:asciiTheme="minorHAnsi" w:hAnsiTheme="minorHAnsi"/>
          <w:i/>
        </w:rPr>
        <w:t>Improving Student Learning through the Curriculum</w:t>
      </w:r>
      <w:r w:rsidR="00B55B34" w:rsidRPr="000C4D81">
        <w:rPr>
          <w:rFonts w:asciiTheme="minorHAnsi" w:hAnsiTheme="minorHAnsi"/>
        </w:rPr>
        <w:t xml:space="preserve">, Oxford: Oxford Centre for Staff and Learning Development.  </w:t>
      </w:r>
    </w:p>
    <w:p w:rsidR="00D17977" w:rsidRPr="000C4D81" w:rsidRDefault="00D17977" w:rsidP="00B55B34">
      <w:pPr>
        <w:spacing w:after="0"/>
        <w:ind w:left="340" w:hanging="340"/>
        <w:rPr>
          <w:rFonts w:asciiTheme="minorHAnsi" w:hAnsiTheme="minorHAnsi"/>
        </w:rPr>
      </w:pPr>
      <w:r w:rsidRPr="000C4D81">
        <w:rPr>
          <w:rFonts w:asciiTheme="minorHAnsi" w:hAnsiTheme="minorHAnsi"/>
        </w:rPr>
        <w:t>Q</w:t>
      </w:r>
      <w:r>
        <w:rPr>
          <w:rFonts w:asciiTheme="minorHAnsi" w:hAnsiTheme="minorHAnsi"/>
        </w:rPr>
        <w:t xml:space="preserve">uality </w:t>
      </w:r>
      <w:r w:rsidRPr="000C4D81">
        <w:rPr>
          <w:rFonts w:asciiTheme="minorHAnsi" w:hAnsiTheme="minorHAnsi"/>
        </w:rPr>
        <w:t>A</w:t>
      </w:r>
      <w:r>
        <w:rPr>
          <w:rFonts w:asciiTheme="minorHAnsi" w:hAnsiTheme="minorHAnsi"/>
        </w:rPr>
        <w:t xml:space="preserve">ssurance </w:t>
      </w:r>
      <w:r w:rsidRPr="000C4D81">
        <w:rPr>
          <w:rFonts w:asciiTheme="minorHAnsi" w:hAnsiTheme="minorHAnsi"/>
        </w:rPr>
        <w:t>A</w:t>
      </w:r>
      <w:r>
        <w:rPr>
          <w:rFonts w:asciiTheme="minorHAnsi" w:hAnsiTheme="minorHAnsi"/>
        </w:rPr>
        <w:t>gency for Higher Education (2009)</w:t>
      </w:r>
      <w:r w:rsidRPr="000C4D81">
        <w:rPr>
          <w:rFonts w:asciiTheme="minorHAnsi" w:hAnsiTheme="minorHAnsi"/>
        </w:rPr>
        <w:t xml:space="preserve"> </w:t>
      </w:r>
      <w:r w:rsidRPr="00D17977">
        <w:rPr>
          <w:rFonts w:asciiTheme="minorHAnsi" w:hAnsiTheme="minorHAnsi"/>
          <w:i/>
        </w:rPr>
        <w:t>Institutional Audit, University of Liverpool, March 2009</w:t>
      </w:r>
      <w:r>
        <w:rPr>
          <w:rFonts w:asciiTheme="minorHAnsi" w:hAnsiTheme="minorHAnsi"/>
        </w:rPr>
        <w:t xml:space="preserve">, </w:t>
      </w:r>
      <w:r w:rsidRPr="000C4D81">
        <w:rPr>
          <w:rFonts w:asciiTheme="minorHAnsi" w:hAnsiTheme="minorHAnsi"/>
        </w:rPr>
        <w:t>Q</w:t>
      </w:r>
      <w:r>
        <w:rPr>
          <w:rFonts w:asciiTheme="minorHAnsi" w:hAnsiTheme="minorHAnsi"/>
        </w:rPr>
        <w:t xml:space="preserve">uality </w:t>
      </w:r>
      <w:r w:rsidRPr="000C4D81">
        <w:rPr>
          <w:rFonts w:asciiTheme="minorHAnsi" w:hAnsiTheme="minorHAnsi"/>
        </w:rPr>
        <w:t>A</w:t>
      </w:r>
      <w:r>
        <w:rPr>
          <w:rFonts w:asciiTheme="minorHAnsi" w:hAnsiTheme="minorHAnsi"/>
        </w:rPr>
        <w:t xml:space="preserve">ssurance </w:t>
      </w:r>
      <w:r w:rsidRPr="000C4D81">
        <w:rPr>
          <w:rFonts w:asciiTheme="minorHAnsi" w:hAnsiTheme="minorHAnsi"/>
        </w:rPr>
        <w:t>A</w:t>
      </w:r>
      <w:r>
        <w:rPr>
          <w:rFonts w:asciiTheme="minorHAnsi" w:hAnsiTheme="minorHAnsi"/>
        </w:rPr>
        <w:t xml:space="preserve">gency for Higher Education, </w:t>
      </w:r>
      <w:r w:rsidRPr="00D17977">
        <w:rPr>
          <w:rFonts w:asciiTheme="minorHAnsi" w:hAnsiTheme="minorHAnsi"/>
        </w:rPr>
        <w:t>Gloucester.</w:t>
      </w:r>
      <w:r w:rsidRPr="000C4D81">
        <w:rPr>
          <w:rFonts w:asciiTheme="minorHAnsi" w:hAnsiTheme="minorHAnsi"/>
        </w:rPr>
        <w:t xml:space="preserve"> </w:t>
      </w:r>
    </w:p>
    <w:p w:rsidR="00B55B34" w:rsidRPr="000C4D81" w:rsidRDefault="00B55B34" w:rsidP="00B55B34">
      <w:pPr>
        <w:autoSpaceDE w:val="0"/>
        <w:autoSpaceDN w:val="0"/>
        <w:adjustRightInd w:val="0"/>
        <w:spacing w:after="0" w:line="240" w:lineRule="auto"/>
        <w:ind w:left="340" w:hanging="340"/>
        <w:rPr>
          <w:rFonts w:asciiTheme="minorHAnsi" w:hAnsiTheme="minorHAnsi" w:cs="Arial"/>
        </w:rPr>
      </w:pPr>
    </w:p>
    <w:p w:rsidR="00B55B34" w:rsidRPr="000C4D81" w:rsidRDefault="00B55B34" w:rsidP="00412280">
      <w:pPr>
        <w:spacing w:after="0" w:line="240" w:lineRule="auto"/>
        <w:rPr>
          <w:rFonts w:asciiTheme="minorHAnsi" w:eastAsia="Times New Roman" w:hAnsiTheme="minorHAnsi"/>
          <w:b/>
        </w:rPr>
      </w:pPr>
      <w:r w:rsidRPr="000C4D81">
        <w:rPr>
          <w:rFonts w:asciiTheme="minorHAnsi" w:eastAsia="Times New Roman" w:hAnsiTheme="minorHAnsi"/>
          <w:b/>
        </w:rPr>
        <w:t>Further resources</w:t>
      </w:r>
    </w:p>
    <w:p w:rsidR="00B55B34" w:rsidRPr="000C4D81" w:rsidRDefault="00B55B34" w:rsidP="00412280">
      <w:pPr>
        <w:spacing w:after="0" w:line="240" w:lineRule="auto"/>
        <w:rPr>
          <w:rFonts w:asciiTheme="minorHAnsi" w:eastAsia="Times New Roman" w:hAnsiTheme="minorHAnsi"/>
        </w:rPr>
      </w:pPr>
    </w:p>
    <w:p w:rsidR="00B55B34" w:rsidRPr="000C4D81" w:rsidRDefault="00B55B34" w:rsidP="00B55B34">
      <w:pPr>
        <w:spacing w:after="0" w:line="240" w:lineRule="auto"/>
        <w:rPr>
          <w:rFonts w:asciiTheme="minorHAnsi" w:eastAsiaTheme="minorHAnsi" w:hAnsiTheme="minorHAnsi" w:cs="Arial"/>
          <w:color w:val="231F20"/>
        </w:rPr>
      </w:pPr>
      <w:proofErr w:type="gramStart"/>
      <w:r w:rsidRPr="000C4D81">
        <w:rPr>
          <w:rFonts w:asciiTheme="minorHAnsi" w:eastAsiaTheme="minorHAnsi" w:hAnsiTheme="minorHAnsi" w:cs="Arial"/>
          <w:color w:val="231F20"/>
        </w:rPr>
        <w:t>Video on Research-led Teaching - (17/06/09).</w:t>
      </w:r>
      <w:proofErr w:type="gramEnd"/>
      <w:r w:rsidRPr="000C4D81">
        <w:rPr>
          <w:rFonts w:asciiTheme="minorHAnsi" w:eastAsiaTheme="minorHAnsi" w:hAnsiTheme="minorHAnsi" w:cs="Arial"/>
          <w:color w:val="231F20"/>
        </w:rPr>
        <w:t xml:space="preserve"> Dr Peter Kahn (Educational Developer), Educational Development Division, University of Liverpool </w:t>
      </w:r>
    </w:p>
    <w:p w:rsidR="00B55B34" w:rsidRPr="000C4D81" w:rsidRDefault="000E05C3" w:rsidP="00412280">
      <w:pPr>
        <w:spacing w:after="0" w:line="240" w:lineRule="auto"/>
        <w:rPr>
          <w:rFonts w:asciiTheme="minorHAnsi" w:eastAsia="Times New Roman" w:hAnsiTheme="minorHAnsi"/>
        </w:rPr>
      </w:pPr>
      <w:hyperlink r:id="rId10" w:history="1">
        <w:r w:rsidR="00B55B34" w:rsidRPr="000C4D81">
          <w:rPr>
            <w:rStyle w:val="Hyperlink"/>
            <w:rFonts w:asciiTheme="minorHAnsi" w:eastAsia="Times New Roman" w:hAnsiTheme="minorHAnsi"/>
          </w:rPr>
          <w:t>http://www.liv.ac.uk/eddev/CPD/Past_CPD_Events.htm</w:t>
        </w:r>
      </w:hyperlink>
    </w:p>
    <w:p w:rsidR="002948CB" w:rsidRPr="000C4D81" w:rsidRDefault="00B55B34" w:rsidP="00412280">
      <w:pPr>
        <w:spacing w:after="0" w:line="240" w:lineRule="auto"/>
        <w:rPr>
          <w:rFonts w:asciiTheme="minorHAnsi" w:eastAsia="Times New Roman" w:hAnsiTheme="minorHAnsi"/>
        </w:rPr>
      </w:pPr>
      <w:r w:rsidRPr="000C4D81">
        <w:rPr>
          <w:rFonts w:asciiTheme="minorHAnsi" w:eastAsia="Times New Roman" w:hAnsiTheme="minorHAnsi"/>
        </w:rPr>
        <w:t xml:space="preserve"> </w:t>
      </w:r>
    </w:p>
    <w:p w:rsidR="00B55B34" w:rsidRPr="000C4D81" w:rsidRDefault="00B55B34" w:rsidP="00412280">
      <w:pPr>
        <w:spacing w:after="0" w:line="240" w:lineRule="auto"/>
        <w:rPr>
          <w:rFonts w:asciiTheme="minorHAnsi" w:eastAsiaTheme="minorHAnsi" w:hAnsiTheme="minorHAnsi" w:cs="Arial"/>
          <w:color w:val="231F20"/>
        </w:rPr>
      </w:pPr>
      <w:r w:rsidRPr="000C4D81">
        <w:rPr>
          <w:rFonts w:asciiTheme="minorHAnsi" w:eastAsiaTheme="minorHAnsi" w:hAnsiTheme="minorHAnsi" w:cs="Arial"/>
          <w:color w:val="231F20"/>
        </w:rPr>
        <w:t>Some relevant resources are also available from the last two learning and teaching conferences</w:t>
      </w:r>
      <w:r w:rsidR="004B34BE" w:rsidRPr="000C4D81">
        <w:rPr>
          <w:rFonts w:asciiTheme="minorHAnsi" w:eastAsiaTheme="minorHAnsi" w:hAnsiTheme="minorHAnsi" w:cs="Arial"/>
          <w:color w:val="231F20"/>
        </w:rPr>
        <w:t>:</w:t>
      </w:r>
    </w:p>
    <w:p w:rsidR="00B55B34" w:rsidRPr="000C4D81" w:rsidRDefault="000E05C3" w:rsidP="00412280">
      <w:pPr>
        <w:spacing w:after="0" w:line="240" w:lineRule="auto"/>
        <w:rPr>
          <w:rFonts w:asciiTheme="minorHAnsi" w:eastAsiaTheme="minorHAnsi" w:hAnsiTheme="minorHAnsi" w:cs="Arial"/>
          <w:color w:val="231F20"/>
        </w:rPr>
      </w:pPr>
      <w:hyperlink r:id="rId11" w:history="1">
        <w:r w:rsidR="00B55B34" w:rsidRPr="000C4D81">
          <w:rPr>
            <w:rStyle w:val="Hyperlink"/>
            <w:rFonts w:asciiTheme="minorHAnsi" w:eastAsiaTheme="minorHAnsi" w:hAnsiTheme="minorHAnsi" w:cs="Arial"/>
          </w:rPr>
          <w:t>http://www.liv.ac.uk/eddev/l_t_conference/past_conferences/l_t_conference_09/resources.htm</w:t>
        </w:r>
      </w:hyperlink>
    </w:p>
    <w:p w:rsidR="00B55B34" w:rsidRPr="000C4D81" w:rsidRDefault="000E05C3" w:rsidP="00412280">
      <w:pPr>
        <w:spacing w:after="0" w:line="240" w:lineRule="auto"/>
        <w:rPr>
          <w:rFonts w:asciiTheme="minorHAnsi" w:eastAsiaTheme="minorHAnsi" w:hAnsiTheme="minorHAnsi" w:cs="Arial"/>
          <w:color w:val="231F20"/>
        </w:rPr>
      </w:pPr>
      <w:hyperlink r:id="rId12" w:history="1">
        <w:r w:rsidR="00B55B34" w:rsidRPr="000C4D81">
          <w:rPr>
            <w:rStyle w:val="Hyperlink"/>
            <w:rFonts w:asciiTheme="minorHAnsi" w:eastAsiaTheme="minorHAnsi" w:hAnsiTheme="minorHAnsi" w:cs="Arial"/>
          </w:rPr>
          <w:t>http://www.liv.ac.uk/eddev/l_t_conference/past_conferences/l_t_conference_08/L%26T_Resources_2008.htm</w:t>
        </w:r>
      </w:hyperlink>
    </w:p>
    <w:p w:rsidR="00B55B34" w:rsidRPr="000C4D81" w:rsidRDefault="00B55B34" w:rsidP="00412280">
      <w:pPr>
        <w:spacing w:after="0" w:line="240" w:lineRule="auto"/>
        <w:rPr>
          <w:rFonts w:asciiTheme="minorHAnsi" w:eastAsiaTheme="minorHAnsi" w:hAnsiTheme="minorHAnsi" w:cs="Arial"/>
          <w:color w:val="231F20"/>
        </w:rPr>
      </w:pPr>
    </w:p>
    <w:p w:rsidR="00B55B34" w:rsidRPr="000C4D81" w:rsidRDefault="00B55B34" w:rsidP="00412280">
      <w:pPr>
        <w:spacing w:after="0" w:line="240" w:lineRule="auto"/>
        <w:rPr>
          <w:rFonts w:asciiTheme="minorHAnsi" w:eastAsiaTheme="minorHAnsi" w:hAnsiTheme="minorHAnsi" w:cs="Arial"/>
          <w:color w:val="231F20"/>
        </w:rPr>
      </w:pPr>
    </w:p>
    <w:p w:rsidR="00851353" w:rsidRPr="000C4D81" w:rsidRDefault="006C18EB" w:rsidP="00412280">
      <w:pPr>
        <w:spacing w:after="0" w:line="240" w:lineRule="auto"/>
        <w:rPr>
          <w:rFonts w:asciiTheme="minorHAnsi" w:eastAsiaTheme="minorHAnsi" w:hAnsiTheme="minorHAnsi" w:cs="Arial"/>
          <w:color w:val="231F20"/>
        </w:rPr>
      </w:pPr>
      <w:r w:rsidRPr="000C4D81">
        <w:rPr>
          <w:rFonts w:asciiTheme="minorHAnsi" w:eastAsiaTheme="minorHAnsi" w:hAnsiTheme="minorHAnsi" w:cs="Arial"/>
          <w:color w:val="231F20"/>
        </w:rPr>
        <w:t>Dr Peter Kahn, Educational Development, Centre for Lifelong Learning</w:t>
      </w:r>
    </w:p>
    <w:p w:rsidR="006C18EB" w:rsidRPr="000C4D81" w:rsidRDefault="006C18EB" w:rsidP="00412280">
      <w:pPr>
        <w:spacing w:after="0" w:line="240" w:lineRule="auto"/>
        <w:rPr>
          <w:rFonts w:asciiTheme="minorHAnsi" w:eastAsiaTheme="minorHAnsi" w:hAnsiTheme="minorHAnsi" w:cs="Arial"/>
          <w:color w:val="231F20"/>
        </w:rPr>
      </w:pPr>
      <w:r w:rsidRPr="000C4D81">
        <w:rPr>
          <w:rFonts w:asciiTheme="minorHAnsi" w:eastAsiaTheme="minorHAnsi" w:hAnsiTheme="minorHAnsi" w:cs="Arial"/>
          <w:color w:val="231F20"/>
        </w:rPr>
        <w:t>September 2009</w:t>
      </w:r>
    </w:p>
    <w:p w:rsidR="00B55B34" w:rsidRPr="000C4D81" w:rsidRDefault="00B55B34" w:rsidP="00412280">
      <w:pPr>
        <w:spacing w:after="0" w:line="240" w:lineRule="auto"/>
        <w:rPr>
          <w:rFonts w:asciiTheme="minorHAnsi" w:eastAsiaTheme="minorHAnsi" w:hAnsiTheme="minorHAnsi" w:cs="Arial"/>
          <w:color w:val="231F20"/>
        </w:rPr>
      </w:pPr>
    </w:p>
    <w:p w:rsidR="00B55B34" w:rsidRPr="000C4D81" w:rsidRDefault="00B55B34" w:rsidP="00B55B34">
      <w:pPr>
        <w:spacing w:after="0" w:line="240" w:lineRule="auto"/>
        <w:rPr>
          <w:rFonts w:asciiTheme="minorHAnsi" w:eastAsiaTheme="minorHAnsi" w:hAnsiTheme="minorHAnsi" w:cs="Arial"/>
          <w:color w:val="231F20"/>
        </w:rPr>
      </w:pPr>
      <w:r w:rsidRPr="000C4D81">
        <w:rPr>
          <w:rFonts w:asciiTheme="minorHAnsi" w:eastAsiaTheme="minorHAnsi" w:hAnsiTheme="minorHAnsi" w:cs="Arial"/>
          <w:color w:val="231F20"/>
        </w:rPr>
        <w:t>Note: this briefing note is based on a discussion document prepared for the APSC November 2008 meeting</w:t>
      </w:r>
      <w:r w:rsidR="00D7641F" w:rsidRPr="000C4D81">
        <w:rPr>
          <w:rFonts w:asciiTheme="minorHAnsi" w:eastAsiaTheme="minorHAnsi" w:hAnsiTheme="minorHAnsi" w:cs="Arial"/>
          <w:color w:val="231F20"/>
        </w:rPr>
        <w:t xml:space="preserve">. </w:t>
      </w:r>
    </w:p>
    <w:p w:rsidR="00B55B34" w:rsidRDefault="00B55B34" w:rsidP="00412280">
      <w:pPr>
        <w:spacing w:after="0" w:line="240" w:lineRule="auto"/>
        <w:rPr>
          <w:rFonts w:asciiTheme="minorHAnsi" w:eastAsiaTheme="minorHAnsi" w:hAnsiTheme="minorHAnsi" w:cs="Arial"/>
          <w:color w:val="231F20"/>
        </w:rPr>
      </w:pPr>
    </w:p>
    <w:p w:rsidR="00FF5B46" w:rsidRDefault="00FF5B46" w:rsidP="00412280">
      <w:pPr>
        <w:spacing w:after="0" w:line="240" w:lineRule="auto"/>
        <w:rPr>
          <w:rFonts w:asciiTheme="minorHAnsi" w:eastAsiaTheme="minorHAnsi" w:hAnsiTheme="minorHAnsi" w:cs="Arial"/>
          <w:color w:val="231F20"/>
        </w:rPr>
      </w:pPr>
    </w:p>
    <w:sectPr w:rsidR="00FF5B46" w:rsidSect="00C94023">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CF" w:rsidRDefault="00694BCF" w:rsidP="00C94023">
      <w:pPr>
        <w:spacing w:after="0" w:line="240" w:lineRule="auto"/>
      </w:pPr>
      <w:r>
        <w:separator/>
      </w:r>
    </w:p>
  </w:endnote>
  <w:endnote w:type="continuationSeparator" w:id="0">
    <w:p w:rsidR="00694BCF" w:rsidRDefault="00694BCF" w:rsidP="00C94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594"/>
      <w:docPartObj>
        <w:docPartGallery w:val="Page Numbers (Bottom of Page)"/>
        <w:docPartUnique/>
      </w:docPartObj>
    </w:sdtPr>
    <w:sdtContent>
      <w:p w:rsidR="001A6D13" w:rsidRDefault="000E05C3">
        <w:pPr>
          <w:pStyle w:val="Footer"/>
          <w:jc w:val="center"/>
        </w:pPr>
        <w:fldSimple w:instr=" PAGE   \* MERGEFORMAT ">
          <w:r w:rsidR="00F10376">
            <w:rPr>
              <w:noProof/>
            </w:rPr>
            <w:t>2</w:t>
          </w:r>
        </w:fldSimple>
      </w:p>
    </w:sdtContent>
  </w:sdt>
  <w:p w:rsidR="001A6D13" w:rsidRDefault="001A6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CF" w:rsidRDefault="00694BCF" w:rsidP="00C94023">
      <w:pPr>
        <w:spacing w:after="0" w:line="240" w:lineRule="auto"/>
      </w:pPr>
      <w:r>
        <w:separator/>
      </w:r>
    </w:p>
  </w:footnote>
  <w:footnote w:type="continuationSeparator" w:id="0">
    <w:p w:rsidR="00694BCF" w:rsidRDefault="00694BCF" w:rsidP="00C94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13" w:rsidRPr="00C94023" w:rsidRDefault="001A6D13" w:rsidP="00C94023">
    <w:pPr>
      <w:spacing w:after="0"/>
      <w:ind w:left="2880"/>
      <w:jc w:val="right"/>
      <w:rPr>
        <w:rFonts w:asciiTheme="minorHAnsi" w:hAnsiTheme="minorHAnsi" w:cs="Arial"/>
        <w:i/>
        <w:sz w:val="20"/>
        <w:szCs w:val="20"/>
      </w:rPr>
    </w:pPr>
    <w:r w:rsidRPr="00C94023">
      <w:rPr>
        <w:rFonts w:asciiTheme="minorHAnsi" w:hAnsiTheme="minorHAnsi" w:cs="Arial"/>
        <w:i/>
        <w:sz w:val="20"/>
        <w:szCs w:val="20"/>
      </w:rPr>
      <w:t>Challenges to using research-led learning</w:t>
    </w:r>
    <w:r>
      <w:rPr>
        <w:rFonts w:asciiTheme="minorHAnsi" w:hAnsiTheme="minorHAnsi" w:cs="Arial"/>
        <w:i/>
        <w:sz w:val="20"/>
        <w:szCs w:val="20"/>
      </w:rPr>
      <w:t>: A briefing note</w:t>
    </w:r>
  </w:p>
  <w:p w:rsidR="001A6D13" w:rsidRDefault="001A6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13" w:rsidRDefault="001A6D13">
    <w:pPr>
      <w:pStyle w:val="Header"/>
    </w:pPr>
  </w:p>
  <w:p w:rsidR="001A6D13" w:rsidRDefault="001A6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B25FBF"/>
    <w:multiLevelType w:val="hybridMultilevel"/>
    <w:tmpl w:val="CC1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40B8"/>
    <w:multiLevelType w:val="hybridMultilevel"/>
    <w:tmpl w:val="EAD4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B00EB0"/>
    <w:multiLevelType w:val="hybridMultilevel"/>
    <w:tmpl w:val="518250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CC1F71"/>
    <w:multiLevelType w:val="hybridMultilevel"/>
    <w:tmpl w:val="566259DA"/>
    <w:lvl w:ilvl="0" w:tplc="7F8A34A0">
      <w:start w:val="1"/>
      <w:numFmt w:val="upperLetter"/>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56E75"/>
    <w:multiLevelType w:val="hybridMultilevel"/>
    <w:tmpl w:val="A85EB9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AE61CA"/>
    <w:multiLevelType w:val="hybridMultilevel"/>
    <w:tmpl w:val="9F00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E668F"/>
    <w:multiLevelType w:val="hybridMultilevel"/>
    <w:tmpl w:val="B1E6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06376"/>
    <w:multiLevelType w:val="hybridMultilevel"/>
    <w:tmpl w:val="CABC0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FF1A60"/>
    <w:multiLevelType w:val="hybridMultilevel"/>
    <w:tmpl w:val="98321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E144EC"/>
    <w:multiLevelType w:val="hybridMultilevel"/>
    <w:tmpl w:val="AAFE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E107E"/>
    <w:multiLevelType w:val="hybridMultilevel"/>
    <w:tmpl w:val="1F6E1684"/>
    <w:lvl w:ilvl="0" w:tplc="ADF8AD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386697"/>
    <w:multiLevelType w:val="hybridMultilevel"/>
    <w:tmpl w:val="EC14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2"/>
  </w:num>
  <w:num w:numId="8">
    <w:abstractNumId w:val="1"/>
  </w:num>
  <w:num w:numId="9">
    <w:abstractNumId w:val="9"/>
  </w:num>
  <w:num w:numId="10">
    <w:abstractNumId w:val="3"/>
  </w:num>
  <w:num w:numId="11">
    <w:abstractNumId w:val="1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2B9"/>
    <w:rsid w:val="000032CD"/>
    <w:rsid w:val="00004D3B"/>
    <w:rsid w:val="000B407F"/>
    <w:rsid w:val="000C4D81"/>
    <w:rsid w:val="000E05C3"/>
    <w:rsid w:val="000F68A1"/>
    <w:rsid w:val="001077A7"/>
    <w:rsid w:val="00121D6F"/>
    <w:rsid w:val="00192BCF"/>
    <w:rsid w:val="001A6D13"/>
    <w:rsid w:val="001C33EF"/>
    <w:rsid w:val="001E1A64"/>
    <w:rsid w:val="00202303"/>
    <w:rsid w:val="00232C20"/>
    <w:rsid w:val="00280258"/>
    <w:rsid w:val="002948CB"/>
    <w:rsid w:val="002C11AD"/>
    <w:rsid w:val="003228F8"/>
    <w:rsid w:val="00334989"/>
    <w:rsid w:val="0034543C"/>
    <w:rsid w:val="00385D5E"/>
    <w:rsid w:val="00386638"/>
    <w:rsid w:val="003A7AC3"/>
    <w:rsid w:val="003F2B32"/>
    <w:rsid w:val="00407DF1"/>
    <w:rsid w:val="00412280"/>
    <w:rsid w:val="00430269"/>
    <w:rsid w:val="0043056B"/>
    <w:rsid w:val="004B34BE"/>
    <w:rsid w:val="004D3064"/>
    <w:rsid w:val="00556A21"/>
    <w:rsid w:val="005B4581"/>
    <w:rsid w:val="005C3899"/>
    <w:rsid w:val="005F48D2"/>
    <w:rsid w:val="00694BCF"/>
    <w:rsid w:val="006C18EB"/>
    <w:rsid w:val="00715BA1"/>
    <w:rsid w:val="00722AD9"/>
    <w:rsid w:val="00734F2A"/>
    <w:rsid w:val="00751C7A"/>
    <w:rsid w:val="007D04C8"/>
    <w:rsid w:val="007F75EE"/>
    <w:rsid w:val="00851353"/>
    <w:rsid w:val="00890DBF"/>
    <w:rsid w:val="00935DC0"/>
    <w:rsid w:val="00984E34"/>
    <w:rsid w:val="009C2FA1"/>
    <w:rsid w:val="00A16706"/>
    <w:rsid w:val="00A20120"/>
    <w:rsid w:val="00A34406"/>
    <w:rsid w:val="00A55445"/>
    <w:rsid w:val="00AF57A9"/>
    <w:rsid w:val="00B014A0"/>
    <w:rsid w:val="00B5511D"/>
    <w:rsid w:val="00B55B34"/>
    <w:rsid w:val="00C04459"/>
    <w:rsid w:val="00C51885"/>
    <w:rsid w:val="00C70824"/>
    <w:rsid w:val="00C86C0D"/>
    <w:rsid w:val="00C94023"/>
    <w:rsid w:val="00C96D4B"/>
    <w:rsid w:val="00CA536F"/>
    <w:rsid w:val="00D17977"/>
    <w:rsid w:val="00D55218"/>
    <w:rsid w:val="00D552B9"/>
    <w:rsid w:val="00D706E2"/>
    <w:rsid w:val="00D7641F"/>
    <w:rsid w:val="00D8176A"/>
    <w:rsid w:val="00D822F1"/>
    <w:rsid w:val="00D9686F"/>
    <w:rsid w:val="00DC59E4"/>
    <w:rsid w:val="00DF534D"/>
    <w:rsid w:val="00DF6519"/>
    <w:rsid w:val="00E157A1"/>
    <w:rsid w:val="00EC25B0"/>
    <w:rsid w:val="00EE4005"/>
    <w:rsid w:val="00F10376"/>
    <w:rsid w:val="00F42914"/>
    <w:rsid w:val="00F8396D"/>
    <w:rsid w:val="00FF5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9"/>
    <w:rPr>
      <w:rFonts w:ascii="Calibri" w:eastAsia="Calibri" w:hAnsi="Calibri" w:cs="Times New Roman"/>
    </w:rPr>
  </w:style>
  <w:style w:type="paragraph" w:styleId="Heading1">
    <w:name w:val="heading 1"/>
    <w:basedOn w:val="Normal"/>
    <w:next w:val="Normal"/>
    <w:link w:val="Heading1Char"/>
    <w:uiPriority w:val="9"/>
    <w:qFormat/>
    <w:rsid w:val="00890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F48D2"/>
    <w:pPr>
      <w:keepNext/>
      <w:spacing w:after="0" w:line="240" w:lineRule="auto"/>
      <w:jc w:val="center"/>
      <w:outlineLvl w:val="1"/>
    </w:pPr>
    <w:rPr>
      <w:rFonts w:ascii="Times New Roman" w:eastAsia="Times New Roman" w:hAnsi="Times New Roman"/>
      <w:sz w:val="24"/>
      <w:szCs w:val="20"/>
    </w:rPr>
  </w:style>
  <w:style w:type="paragraph" w:styleId="Heading3">
    <w:name w:val="heading 3"/>
    <w:basedOn w:val="Normal"/>
    <w:next w:val="Normal"/>
    <w:link w:val="Heading3Char"/>
    <w:uiPriority w:val="9"/>
    <w:semiHidden/>
    <w:unhideWhenUsed/>
    <w:qFormat/>
    <w:rsid w:val="005F48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5B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B9"/>
    <w:pPr>
      <w:ind w:left="720"/>
      <w:contextualSpacing/>
    </w:pPr>
  </w:style>
  <w:style w:type="paragraph" w:styleId="BodyTextIndent2">
    <w:name w:val="Body Text Indent 2"/>
    <w:basedOn w:val="Normal"/>
    <w:link w:val="BodyTextIndent2Char"/>
    <w:rsid w:val="00C86C0D"/>
    <w:pPr>
      <w:spacing w:after="0" w:line="240" w:lineRule="auto"/>
      <w:ind w:left="1418" w:hanging="284"/>
      <w:jc w:val="both"/>
    </w:pPr>
    <w:rPr>
      <w:rFonts w:ascii="Times New Roman" w:eastAsia="Times New Roman" w:hAnsi="Times New Roman"/>
      <w:b/>
      <w:sz w:val="28"/>
      <w:szCs w:val="20"/>
    </w:rPr>
  </w:style>
  <w:style w:type="character" w:customStyle="1" w:styleId="BodyTextIndent2Char">
    <w:name w:val="Body Text Indent 2 Char"/>
    <w:basedOn w:val="DefaultParagraphFont"/>
    <w:link w:val="BodyTextIndent2"/>
    <w:rsid w:val="00C86C0D"/>
    <w:rPr>
      <w:rFonts w:ascii="Times New Roman" w:eastAsia="Times New Roman" w:hAnsi="Times New Roman" w:cs="Times New Roman"/>
      <w:b/>
      <w:sz w:val="28"/>
      <w:szCs w:val="20"/>
    </w:rPr>
  </w:style>
  <w:style w:type="character" w:styleId="Hyperlink">
    <w:name w:val="Hyperlink"/>
    <w:basedOn w:val="DefaultParagraphFont"/>
    <w:rsid w:val="00C86C0D"/>
    <w:rPr>
      <w:color w:val="0000FF"/>
      <w:u w:val="single"/>
    </w:rPr>
  </w:style>
  <w:style w:type="character" w:styleId="FollowedHyperlink">
    <w:name w:val="FollowedHyperlink"/>
    <w:basedOn w:val="DefaultParagraphFont"/>
    <w:uiPriority w:val="99"/>
    <w:semiHidden/>
    <w:unhideWhenUsed/>
    <w:rsid w:val="005F48D2"/>
    <w:rPr>
      <w:color w:val="800080" w:themeColor="followedHyperlink"/>
      <w:u w:val="single"/>
    </w:rPr>
  </w:style>
  <w:style w:type="character" w:customStyle="1" w:styleId="Heading2Char">
    <w:name w:val="Heading 2 Char"/>
    <w:basedOn w:val="DefaultParagraphFont"/>
    <w:link w:val="Heading2"/>
    <w:rsid w:val="005F48D2"/>
    <w:rPr>
      <w:rFonts w:ascii="Times New Roman" w:eastAsia="Times New Roman" w:hAnsi="Times New Roman" w:cs="Times New Roman"/>
      <w:sz w:val="24"/>
      <w:szCs w:val="20"/>
    </w:rPr>
  </w:style>
  <w:style w:type="character" w:styleId="Strong">
    <w:name w:val="Strong"/>
    <w:basedOn w:val="DefaultParagraphFont"/>
    <w:qFormat/>
    <w:rsid w:val="005F48D2"/>
    <w:rPr>
      <w:b/>
    </w:rPr>
  </w:style>
  <w:style w:type="character" w:customStyle="1" w:styleId="Heading3Char">
    <w:name w:val="Heading 3 Char"/>
    <w:basedOn w:val="DefaultParagraphFont"/>
    <w:link w:val="Heading3"/>
    <w:uiPriority w:val="9"/>
    <w:semiHidden/>
    <w:rsid w:val="005F48D2"/>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5F48D2"/>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5F48D2"/>
    <w:rPr>
      <w:rFonts w:ascii="Times New Roman" w:eastAsia="Times New Roman" w:hAnsi="Times New Roman" w:cs="Times New Roman"/>
      <w:sz w:val="24"/>
      <w:szCs w:val="20"/>
    </w:rPr>
  </w:style>
  <w:style w:type="paragraph" w:customStyle="1" w:styleId="DefinitionTerm">
    <w:name w:val="Definition Term"/>
    <w:basedOn w:val="Normal"/>
    <w:next w:val="DefinitionList"/>
    <w:rsid w:val="00E157A1"/>
    <w:pPr>
      <w:widowControl w:val="0"/>
      <w:spacing w:after="0" w:line="240" w:lineRule="auto"/>
    </w:pPr>
    <w:rPr>
      <w:rFonts w:ascii="Times New Roman" w:eastAsia="Times New Roman" w:hAnsi="Times New Roman"/>
      <w:sz w:val="24"/>
      <w:szCs w:val="20"/>
    </w:rPr>
  </w:style>
  <w:style w:type="paragraph" w:customStyle="1" w:styleId="DefinitionList">
    <w:name w:val="Definition List"/>
    <w:basedOn w:val="Normal"/>
    <w:next w:val="DefinitionTerm"/>
    <w:rsid w:val="00E157A1"/>
    <w:pPr>
      <w:widowControl w:val="0"/>
      <w:spacing w:after="0" w:line="240" w:lineRule="auto"/>
      <w:ind w:left="360"/>
    </w:pPr>
    <w:rPr>
      <w:rFonts w:ascii="Times New Roman" w:eastAsia="Times New Roman" w:hAnsi="Times New Roman"/>
      <w:sz w:val="24"/>
      <w:szCs w:val="20"/>
    </w:rPr>
  </w:style>
  <w:style w:type="paragraph" w:customStyle="1" w:styleId="H1">
    <w:name w:val="H1"/>
    <w:basedOn w:val="Normal"/>
    <w:next w:val="Normal"/>
    <w:rsid w:val="00E157A1"/>
    <w:pPr>
      <w:keepNext/>
      <w:widowControl w:val="0"/>
      <w:spacing w:before="100" w:after="100" w:line="240" w:lineRule="auto"/>
    </w:pPr>
    <w:rPr>
      <w:rFonts w:ascii="Times New Roman" w:eastAsia="Times New Roman" w:hAnsi="Times New Roman"/>
      <w:b/>
      <w:kern w:val="36"/>
      <w:sz w:val="48"/>
      <w:szCs w:val="20"/>
    </w:rPr>
  </w:style>
  <w:style w:type="paragraph" w:customStyle="1" w:styleId="ORDINANCEHEADING">
    <w:name w:val="ORDINANCE HEADING"/>
    <w:basedOn w:val="Heading1"/>
    <w:rsid w:val="00890DBF"/>
    <w:pPr>
      <w:keepLines w:val="0"/>
      <w:spacing w:before="240" w:after="60" w:line="240" w:lineRule="auto"/>
    </w:pPr>
    <w:rPr>
      <w:rFonts w:ascii="Times New Roman" w:eastAsia="Times New Roman" w:hAnsi="Times New Roman" w:cs="Times New Roman"/>
      <w:bCs w:val="0"/>
      <w:color w:val="auto"/>
      <w:kern w:val="28"/>
      <w:sz w:val="24"/>
      <w:szCs w:val="20"/>
      <w:u w:val="single"/>
    </w:rPr>
  </w:style>
  <w:style w:type="character" w:customStyle="1" w:styleId="Heading1Char">
    <w:name w:val="Heading 1 Char"/>
    <w:basedOn w:val="DefaultParagraphFont"/>
    <w:link w:val="Heading1"/>
    <w:uiPriority w:val="9"/>
    <w:rsid w:val="00890DB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C9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3"/>
    <w:rPr>
      <w:rFonts w:ascii="Calibri" w:eastAsia="Calibri" w:hAnsi="Calibri" w:cs="Times New Roman"/>
    </w:rPr>
  </w:style>
  <w:style w:type="paragraph" w:styleId="BalloonText">
    <w:name w:val="Balloon Text"/>
    <w:basedOn w:val="Normal"/>
    <w:link w:val="BalloonTextChar"/>
    <w:uiPriority w:val="99"/>
    <w:semiHidden/>
    <w:unhideWhenUsed/>
    <w:rsid w:val="00C9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23"/>
    <w:rPr>
      <w:rFonts w:ascii="Tahoma" w:eastAsia="Calibri" w:hAnsi="Tahoma" w:cs="Tahoma"/>
      <w:sz w:val="16"/>
      <w:szCs w:val="16"/>
    </w:rPr>
  </w:style>
  <w:style w:type="character" w:customStyle="1" w:styleId="Heading4Char">
    <w:name w:val="Heading 4 Char"/>
    <w:basedOn w:val="DefaultParagraphFont"/>
    <w:link w:val="Heading4"/>
    <w:uiPriority w:val="9"/>
    <w:rsid w:val="00B55B34"/>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B55B34"/>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55B34"/>
    <w:rPr>
      <w:rFonts w:ascii="Consolas" w:eastAsia="Times New Roman" w:hAnsi="Consolas" w:cs="Times New Roman"/>
      <w:sz w:val="21"/>
      <w:szCs w:val="21"/>
    </w:rPr>
  </w:style>
  <w:style w:type="paragraph" w:styleId="NormalWeb">
    <w:name w:val="Normal (Web)"/>
    <w:basedOn w:val="Normal"/>
    <w:uiPriority w:val="99"/>
    <w:semiHidden/>
    <w:unhideWhenUsed/>
    <w:rsid w:val="00B55B34"/>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896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ac.uk/eddev/l_t_conference/past_conferences/l_t_conference_08/L%26T_Resources_200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c.uk/eddev/l_t_conference/past_conferences/l_t_conference_09/resourc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v.ac.uk/eddev/CPD/Past_CPD_Events.htm" TargetMode="External"/><Relationship Id="rId4" Type="http://schemas.openxmlformats.org/officeDocument/2006/relationships/settings" Target="settings.xml"/><Relationship Id="rId9" Type="http://schemas.openxmlformats.org/officeDocument/2006/relationships/hyperlink" Target="http://notes.cc.sunysb.edu/Pres/boyer.nsf/webform/cont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45BB-A25E-4AF4-B51D-C54B6410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dc:creator>
  <cp:keywords/>
  <dc:description/>
  <cp:lastModifiedBy>kahn</cp:lastModifiedBy>
  <cp:revision>8</cp:revision>
  <cp:lastPrinted>2009-11-04T11:33:00Z</cp:lastPrinted>
  <dcterms:created xsi:type="dcterms:W3CDTF">2009-09-08T13:05:00Z</dcterms:created>
  <dcterms:modified xsi:type="dcterms:W3CDTF">2009-11-04T11:34:00Z</dcterms:modified>
</cp:coreProperties>
</file>