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82" w:rsidRPr="007662AA" w:rsidRDefault="009A1E82" w:rsidP="00F42545">
      <w:pPr>
        <w:pStyle w:val="Heading1"/>
        <w:rPr>
          <w:rFonts w:cs="Poppins"/>
        </w:rPr>
      </w:pPr>
      <w:r w:rsidRPr="007662AA">
        <w:rPr>
          <w:rFonts w:cs="Poppins"/>
        </w:rPr>
        <w:t>Assessment Type Catalogue</w:t>
      </w:r>
      <w:bookmarkStart w:id="0" w:name="_GoBack"/>
      <w:bookmarkEnd w:id="0"/>
    </w:p>
    <w:p w:rsidR="009A1E82" w:rsidRPr="007662AA" w:rsidRDefault="009A1E82" w:rsidP="009A1E82">
      <w:pPr>
        <w:rPr>
          <w:rFonts w:cs="Poppins"/>
        </w:rPr>
      </w:pPr>
      <w:r w:rsidRPr="007662AA">
        <w:rPr>
          <w:rFonts w:cs="Poppins"/>
          <w:b/>
        </w:rPr>
        <w:t>Author(s):</w:t>
      </w:r>
      <w:r w:rsidR="007662AA" w:rsidRPr="007662AA">
        <w:rPr>
          <w:rFonts w:cs="Poppins"/>
          <w:b/>
        </w:rPr>
        <w:t xml:space="preserve"> Dr </w:t>
      </w:r>
      <w:r w:rsidRPr="007662AA">
        <w:rPr>
          <w:rFonts w:cs="Poppins"/>
          <w:b/>
        </w:rPr>
        <w:t>Sam Saunders</w:t>
      </w:r>
    </w:p>
    <w:p w:rsidR="009A1E82" w:rsidRPr="007662AA" w:rsidRDefault="009A1E82" w:rsidP="009A1E82">
      <w:pPr>
        <w:pStyle w:val="Heading2"/>
        <w:rPr>
          <w:rFonts w:cs="Poppins"/>
        </w:rPr>
      </w:pPr>
      <w:r w:rsidRPr="007662AA">
        <w:rPr>
          <w:rFonts w:cs="Poppins"/>
        </w:rPr>
        <w:t xml:space="preserve">Description: </w:t>
      </w:r>
    </w:p>
    <w:p w:rsidR="009A1E82" w:rsidRPr="007662AA" w:rsidRDefault="009A1E82" w:rsidP="009A1E82">
      <w:pPr>
        <w:rPr>
          <w:rFonts w:cs="Poppins"/>
        </w:rPr>
      </w:pPr>
      <w:r w:rsidRPr="007662AA">
        <w:rPr>
          <w:rFonts w:cs="Poppins"/>
        </w:rPr>
        <w:t>A blank template catalogue document for departments, schools or even individual lecturers to record all of the assessment types in use on the modules and/or across the entire programme on which they teach, designed to help ensure that there is sufficient variety in assessment across lots of modules or teaching activities.</w:t>
      </w:r>
    </w:p>
    <w:p w:rsidR="009A1E82" w:rsidRPr="007662AA" w:rsidRDefault="009A1E82" w:rsidP="009A1E82">
      <w:pPr>
        <w:pStyle w:val="Heading2"/>
        <w:rPr>
          <w:rFonts w:cs="Poppins"/>
        </w:rPr>
      </w:pPr>
      <w:r w:rsidRPr="007662AA">
        <w:rPr>
          <w:rFonts w:cs="Poppins"/>
        </w:rPr>
        <w:t>Instructions for use:</w:t>
      </w:r>
    </w:p>
    <w:p w:rsidR="009A1E82" w:rsidRPr="007662AA" w:rsidRDefault="009A1E82" w:rsidP="009A1E82">
      <w:pPr>
        <w:rPr>
          <w:rFonts w:cs="Poppins"/>
        </w:rPr>
      </w:pPr>
      <w:r w:rsidRPr="007662AA">
        <w:rPr>
          <w:rFonts w:cs="Poppins"/>
        </w:rPr>
        <w:t>Complete the table by filling in the details of the assessments in use across your area of practice. This could be across all of your own modules, or across the entire programme if you are working on a larger-scale basis. The</w:t>
      </w:r>
      <w:r w:rsidR="002B3455">
        <w:rPr>
          <w:rFonts w:cs="Poppins"/>
        </w:rPr>
        <w:t>re are</w:t>
      </w:r>
      <w:r w:rsidRPr="007662AA">
        <w:rPr>
          <w:rFonts w:cs="Poppins"/>
        </w:rPr>
        <w:t xml:space="preserve"> </w:t>
      </w:r>
      <w:r w:rsidR="002B3455">
        <w:rPr>
          <w:rFonts w:cs="Poppins"/>
        </w:rPr>
        <w:t xml:space="preserve">two </w:t>
      </w:r>
      <w:r w:rsidRPr="007662AA">
        <w:rPr>
          <w:rFonts w:cs="Poppins"/>
        </w:rPr>
        <w:t>table</w:t>
      </w:r>
      <w:r w:rsidR="002B3455">
        <w:rPr>
          <w:rFonts w:cs="Poppins"/>
        </w:rPr>
        <w:t>s</w:t>
      </w:r>
      <w:r w:rsidRPr="007662AA">
        <w:rPr>
          <w:rFonts w:cs="Poppins"/>
        </w:rPr>
        <w:t xml:space="preserve"> – examinations and coursework. The table</w:t>
      </w:r>
      <w:r w:rsidR="002B3455">
        <w:rPr>
          <w:rFonts w:cs="Poppins"/>
        </w:rPr>
        <w:t>s</w:t>
      </w:r>
      <w:r w:rsidRPr="007662AA">
        <w:rPr>
          <w:rFonts w:cs="Poppins"/>
        </w:rPr>
        <w:t xml:space="preserve"> also </w:t>
      </w:r>
      <w:r w:rsidR="002B3455" w:rsidRPr="007662AA">
        <w:rPr>
          <w:rFonts w:cs="Poppins"/>
        </w:rPr>
        <w:t>provide</w:t>
      </w:r>
      <w:r w:rsidRPr="007662AA">
        <w:rPr>
          <w:rFonts w:cs="Poppins"/>
        </w:rPr>
        <w:t xml:space="preserve"> a space for you to evaluate the pros and cons of each assessment type, how these are mitigated against, rate the authenticity of each assessment (according to your own interpretation of this term) and whether it is suitable for group work.</w:t>
      </w:r>
    </w:p>
    <w:p w:rsidR="007662AA" w:rsidRDefault="009A1E82" w:rsidP="002D371B">
      <w:pPr>
        <w:spacing w:after="4800"/>
        <w:rPr>
          <w:rFonts w:cs="Poppins"/>
        </w:rPr>
      </w:pPr>
      <w:r w:rsidRPr="007662AA">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rsidR="009A1E82" w:rsidRPr="007662AA" w:rsidRDefault="009A1E82" w:rsidP="007662AA">
      <w:pPr>
        <w:spacing w:after="120"/>
        <w:rPr>
          <w:rFonts w:cs="Poppins"/>
          <w:sz w:val="16"/>
          <w:szCs w:val="16"/>
        </w:rPr>
      </w:pPr>
      <w:r w:rsidRPr="007662AA">
        <w:rPr>
          <w:rFonts w:cs="Poppins"/>
          <w:noProof/>
          <w:sz w:val="16"/>
          <w:szCs w:val="16"/>
        </w:rPr>
        <w:drawing>
          <wp:inline distT="0" distB="0" distL="0" distR="0" wp14:anchorId="2E7292DC" wp14:editId="7C78C55B">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9A1E82" w:rsidRPr="007662AA" w:rsidRDefault="009A1E82" w:rsidP="009A1E82">
      <w:pPr>
        <w:rPr>
          <w:rFonts w:eastAsia="Times New Roman" w:cs="Poppins"/>
          <w:vanish/>
          <w:sz w:val="16"/>
          <w:szCs w:val="16"/>
          <w:lang w:eastAsia="en-GB"/>
        </w:rPr>
      </w:pPr>
      <w:r w:rsidRPr="007662AA">
        <w:rPr>
          <w:rFonts w:cs="Poppins"/>
          <w:sz w:val="16"/>
          <w:szCs w:val="16"/>
        </w:rPr>
        <w:t>© 2023 by the University of Liverpool, Centre for Innovation in Education.</w:t>
      </w:r>
      <w:r w:rsidRPr="007662AA">
        <w:rPr>
          <w:rFonts w:cs="Poppins"/>
          <w:sz w:val="16"/>
          <w:szCs w:val="16"/>
        </w:rPr>
        <w:br/>
        <w:t xml:space="preserve">Assessment Type Catalogue by Sam Saunders is made available under a </w:t>
      </w:r>
      <w:hyperlink r:id="rId8" w:tgtFrame="_blank" w:tooltip="Creative Commons Attribution-NonCommercial 4.0 International License" w:history="1">
        <w:r w:rsidRPr="007662AA">
          <w:rPr>
            <w:rStyle w:val="Hyperlink"/>
            <w:rFonts w:cs="Poppins"/>
            <w:sz w:val="16"/>
            <w:szCs w:val="16"/>
            <w:shd w:val="clear" w:color="auto" w:fill="FFFFFF"/>
          </w:rPr>
          <w:t>Creative Commons Attribution-</w:t>
        </w:r>
        <w:proofErr w:type="spellStart"/>
        <w:r w:rsidRPr="007662AA">
          <w:rPr>
            <w:rStyle w:val="Hyperlink"/>
            <w:rFonts w:cs="Poppins"/>
            <w:sz w:val="16"/>
            <w:szCs w:val="16"/>
            <w:shd w:val="clear" w:color="auto" w:fill="FFFFFF"/>
          </w:rPr>
          <w:t>NonCommercial</w:t>
        </w:r>
        <w:proofErr w:type="spellEnd"/>
        <w:r w:rsidRPr="007662AA">
          <w:rPr>
            <w:rStyle w:val="Hyperlink"/>
            <w:rFonts w:cs="Poppins"/>
            <w:sz w:val="16"/>
            <w:szCs w:val="16"/>
            <w:shd w:val="clear" w:color="auto" w:fill="FFFFFF"/>
          </w:rPr>
          <w:t xml:space="preserve"> 4.0 International License</w:t>
        </w:r>
      </w:hyperlink>
      <w:r w:rsidRPr="007662AA">
        <w:rPr>
          <w:rFonts w:cs="Poppins"/>
          <w:color w:val="000000"/>
          <w:sz w:val="16"/>
          <w:szCs w:val="16"/>
          <w:shd w:val="clear" w:color="auto" w:fill="FFFFFF"/>
        </w:rPr>
        <w:t>.</w:t>
      </w:r>
    </w:p>
    <w:p w:rsidR="009A1E82" w:rsidRPr="009A1E82" w:rsidRDefault="009A1E82" w:rsidP="009A1E82">
      <w:pPr>
        <w:tabs>
          <w:tab w:val="left" w:pos="2187"/>
        </w:tabs>
        <w:rPr>
          <w:rFonts w:cs="Poppins"/>
          <w:sz w:val="36"/>
        </w:rPr>
        <w:sectPr w:rsidR="009A1E82" w:rsidRPr="009A1E82" w:rsidSect="00F42545">
          <w:footerReference w:type="default" r:id="rId9"/>
          <w:headerReference w:type="first" r:id="rId10"/>
          <w:pgSz w:w="11906" w:h="16838" w:code="9"/>
          <w:pgMar w:top="1440" w:right="1440" w:bottom="1440" w:left="1440" w:header="708" w:footer="708" w:gutter="0"/>
          <w:cols w:space="708"/>
          <w:titlePg/>
          <w:docGrid w:linePitch="360"/>
        </w:sectPr>
      </w:pPr>
    </w:p>
    <w:p w:rsidR="009A1E82" w:rsidRDefault="009A1E82">
      <w:pPr>
        <w:rPr>
          <w:rFonts w:cs="Poppins"/>
          <w:b/>
          <w:sz w:val="36"/>
        </w:rPr>
      </w:pPr>
    </w:p>
    <w:p w:rsidR="00C80881" w:rsidRPr="009B3B1C" w:rsidRDefault="009F2334" w:rsidP="009B3B1C">
      <w:pPr>
        <w:pStyle w:val="Heading1"/>
      </w:pPr>
      <w:r w:rsidRPr="009B3B1C">
        <w:t>Assessment Type Catalogue</w:t>
      </w:r>
    </w:p>
    <w:p w:rsidR="009F2334" w:rsidRPr="009F2334" w:rsidRDefault="009F2334">
      <w:pPr>
        <w:rPr>
          <w:rFonts w:cs="Poppins"/>
          <w:b/>
          <w:sz w:val="24"/>
        </w:rPr>
      </w:pPr>
      <w:r w:rsidRPr="009F2334">
        <w:rPr>
          <w:rFonts w:cs="Poppins"/>
          <w:b/>
          <w:sz w:val="24"/>
        </w:rPr>
        <w:t>School/Department:</w:t>
      </w:r>
      <w:r>
        <w:rPr>
          <w:rFonts w:cs="Poppins"/>
          <w:b/>
          <w:sz w:val="24"/>
        </w:rPr>
        <w:t xml:space="preserve"> </w:t>
      </w:r>
    </w:p>
    <w:p w:rsidR="009F2334" w:rsidRDefault="009F2334">
      <w:pPr>
        <w:rPr>
          <w:rFonts w:cs="Poppins"/>
          <w:b/>
          <w:sz w:val="24"/>
          <w:u w:val="single"/>
        </w:rPr>
      </w:pPr>
      <w:r w:rsidRPr="009F2334">
        <w:rPr>
          <w:rFonts w:cs="Poppins"/>
          <w:b/>
          <w:sz w:val="24"/>
        </w:rPr>
        <w:t>Faculty:</w:t>
      </w:r>
      <w:r>
        <w:rPr>
          <w:rFonts w:cs="Poppins"/>
          <w:b/>
          <w:sz w:val="24"/>
        </w:rPr>
        <w:t xml:space="preserve"> </w:t>
      </w:r>
    </w:p>
    <w:p w:rsidR="009F2334" w:rsidRDefault="009F2334" w:rsidP="00FB54B8">
      <w:pPr>
        <w:spacing w:after="240"/>
        <w:rPr>
          <w:rFonts w:cs="Poppins"/>
        </w:rPr>
      </w:pPr>
      <w:r w:rsidRPr="009F2334">
        <w:rPr>
          <w:rFonts w:cs="Poppins"/>
        </w:rPr>
        <w:t xml:space="preserve">Use this document to outline the different assessment types used by your school/department, and to describe the pros, cons, potential integrity issues and potential authenticity of the assessment type. </w:t>
      </w:r>
      <w:r>
        <w:rPr>
          <w:rFonts w:cs="Poppins"/>
        </w:rPr>
        <w:t>The</w:t>
      </w:r>
      <w:r w:rsidR="009B3B1C">
        <w:rPr>
          <w:rFonts w:cs="Poppins"/>
        </w:rPr>
        <w:t>re are two</w:t>
      </w:r>
      <w:r>
        <w:rPr>
          <w:rFonts w:cs="Poppins"/>
        </w:rPr>
        <w:t xml:space="preserve"> table</w:t>
      </w:r>
      <w:r w:rsidR="009B3B1C">
        <w:rPr>
          <w:rFonts w:cs="Poppins"/>
        </w:rPr>
        <w:t>s</w:t>
      </w:r>
      <w:r>
        <w:rPr>
          <w:rFonts w:cs="Poppins"/>
        </w:rPr>
        <w:t xml:space="preserve">: coursework and examinations. </w:t>
      </w:r>
      <w:r w:rsidRPr="009F2334">
        <w:rPr>
          <w:rFonts w:cs="Poppins"/>
        </w:rPr>
        <w:t xml:space="preserve">An example </w:t>
      </w:r>
      <w:r>
        <w:rPr>
          <w:rFonts w:cs="Poppins"/>
        </w:rPr>
        <w:t xml:space="preserve">in each </w:t>
      </w:r>
      <w:r w:rsidR="009B3B1C">
        <w:rPr>
          <w:rFonts w:cs="Poppins"/>
        </w:rPr>
        <w:t>table</w:t>
      </w:r>
      <w:r>
        <w:rPr>
          <w:rFonts w:cs="Poppins"/>
        </w:rPr>
        <w:t xml:space="preserve"> </w:t>
      </w:r>
      <w:r w:rsidRPr="009F2334">
        <w:rPr>
          <w:rFonts w:cs="Poppins"/>
        </w:rPr>
        <w:t>has been provided.</w:t>
      </w:r>
    </w:p>
    <w:p w:rsidR="009B3B1C" w:rsidRPr="009B3B1C" w:rsidRDefault="009B3B1C" w:rsidP="009B3B1C">
      <w:pPr>
        <w:pStyle w:val="Heading2"/>
      </w:pPr>
      <w:r w:rsidRPr="009B3B1C">
        <w:t>Coursework</w:t>
      </w:r>
    </w:p>
    <w:tbl>
      <w:tblPr>
        <w:tblStyle w:val="TableGrid"/>
        <w:tblW w:w="0" w:type="auto"/>
        <w:tblLook w:val="04A0" w:firstRow="1" w:lastRow="0" w:firstColumn="1" w:lastColumn="0" w:noHBand="0" w:noVBand="1"/>
        <w:tblCaption w:val="Assessment Type Catalogue"/>
        <w:tblDescription w:val="A blank template catalogue document for departments, schools or even individual lecturers to record all of the assessment types in use on the modules and/or across the entire programme on which they teach, designed to help ensure that there is sufficient variety in assessment across lots of modules or teaching activities. "/>
      </w:tblPr>
      <w:tblGrid>
        <w:gridCol w:w="1838"/>
        <w:gridCol w:w="2346"/>
        <w:gridCol w:w="2332"/>
        <w:gridCol w:w="1984"/>
        <w:gridCol w:w="1960"/>
        <w:gridCol w:w="2092"/>
        <w:gridCol w:w="2469"/>
        <w:gridCol w:w="1984"/>
        <w:gridCol w:w="1985"/>
        <w:gridCol w:w="1931"/>
      </w:tblGrid>
      <w:tr w:rsidR="009F1302" w:rsidRPr="009F2334" w:rsidTr="009F1302">
        <w:tc>
          <w:tcPr>
            <w:tcW w:w="1838" w:type="dxa"/>
            <w:vAlign w:val="center"/>
          </w:tcPr>
          <w:p w:rsidR="009F2334" w:rsidRPr="009F2334" w:rsidRDefault="009F2334" w:rsidP="009F2334">
            <w:pPr>
              <w:jc w:val="center"/>
              <w:rPr>
                <w:rFonts w:cs="Poppins"/>
                <w:b/>
              </w:rPr>
            </w:pPr>
            <w:r w:rsidRPr="009F2334">
              <w:rPr>
                <w:rFonts w:cs="Poppins"/>
                <w:b/>
              </w:rPr>
              <w:t>Assessment Type</w:t>
            </w:r>
          </w:p>
        </w:tc>
        <w:tc>
          <w:tcPr>
            <w:tcW w:w="2346" w:type="dxa"/>
            <w:vAlign w:val="center"/>
          </w:tcPr>
          <w:p w:rsidR="009F2334" w:rsidRPr="009F2334" w:rsidRDefault="009F2334" w:rsidP="009F2334">
            <w:pPr>
              <w:jc w:val="center"/>
              <w:rPr>
                <w:rFonts w:cs="Poppins"/>
                <w:b/>
              </w:rPr>
            </w:pPr>
            <w:r w:rsidRPr="009F2334">
              <w:rPr>
                <w:rFonts w:cs="Poppins"/>
                <w:b/>
              </w:rPr>
              <w:t>Brief Description</w:t>
            </w:r>
          </w:p>
        </w:tc>
        <w:tc>
          <w:tcPr>
            <w:tcW w:w="2332" w:type="dxa"/>
            <w:vAlign w:val="center"/>
          </w:tcPr>
          <w:p w:rsidR="009F2334" w:rsidRPr="009F2334" w:rsidRDefault="009F2334" w:rsidP="009F2334">
            <w:pPr>
              <w:jc w:val="center"/>
              <w:rPr>
                <w:rFonts w:cs="Poppins"/>
                <w:b/>
              </w:rPr>
            </w:pPr>
            <w:r w:rsidRPr="009F2334">
              <w:rPr>
                <w:rFonts w:cs="Poppins"/>
                <w:b/>
              </w:rPr>
              <w:t>Skills Tested/ Developed</w:t>
            </w:r>
          </w:p>
        </w:tc>
        <w:tc>
          <w:tcPr>
            <w:tcW w:w="1984" w:type="dxa"/>
            <w:vAlign w:val="center"/>
          </w:tcPr>
          <w:p w:rsidR="009F2334" w:rsidRPr="009F2334" w:rsidRDefault="009F2334" w:rsidP="009F2334">
            <w:pPr>
              <w:jc w:val="center"/>
              <w:rPr>
                <w:rFonts w:cs="Poppins"/>
                <w:b/>
              </w:rPr>
            </w:pPr>
            <w:r w:rsidRPr="009F2334">
              <w:rPr>
                <w:rFonts w:cs="Poppins"/>
                <w:b/>
              </w:rPr>
              <w:t>Pros</w:t>
            </w:r>
          </w:p>
        </w:tc>
        <w:tc>
          <w:tcPr>
            <w:tcW w:w="1960" w:type="dxa"/>
            <w:vAlign w:val="center"/>
          </w:tcPr>
          <w:p w:rsidR="009F2334" w:rsidRPr="009F2334" w:rsidRDefault="009F2334" w:rsidP="009F2334">
            <w:pPr>
              <w:jc w:val="center"/>
              <w:rPr>
                <w:rFonts w:cs="Poppins"/>
                <w:b/>
              </w:rPr>
            </w:pPr>
            <w:r w:rsidRPr="009F2334">
              <w:rPr>
                <w:rFonts w:cs="Poppins"/>
                <w:b/>
              </w:rPr>
              <w:t>Cons</w:t>
            </w:r>
          </w:p>
        </w:tc>
        <w:tc>
          <w:tcPr>
            <w:tcW w:w="2092" w:type="dxa"/>
            <w:vAlign w:val="center"/>
          </w:tcPr>
          <w:p w:rsidR="009F2334" w:rsidRPr="009F2334" w:rsidRDefault="009F2334" w:rsidP="009F2334">
            <w:pPr>
              <w:jc w:val="center"/>
              <w:rPr>
                <w:rFonts w:cs="Poppins"/>
                <w:b/>
              </w:rPr>
            </w:pPr>
            <w:r w:rsidRPr="009F2334">
              <w:rPr>
                <w:rFonts w:cs="Poppins"/>
                <w:b/>
              </w:rPr>
              <w:t>Potential Integrity Issues</w:t>
            </w:r>
          </w:p>
        </w:tc>
        <w:tc>
          <w:tcPr>
            <w:tcW w:w="2469" w:type="dxa"/>
            <w:vAlign w:val="center"/>
          </w:tcPr>
          <w:p w:rsidR="009F2334" w:rsidRPr="009F2334" w:rsidRDefault="009F2334" w:rsidP="009F2334">
            <w:pPr>
              <w:jc w:val="center"/>
              <w:rPr>
                <w:rFonts w:cs="Poppins"/>
                <w:b/>
              </w:rPr>
            </w:pPr>
            <w:r w:rsidRPr="009F2334">
              <w:rPr>
                <w:rFonts w:cs="Poppins"/>
                <w:b/>
              </w:rPr>
              <w:t>Potential Solutions</w:t>
            </w:r>
          </w:p>
        </w:tc>
        <w:tc>
          <w:tcPr>
            <w:tcW w:w="1984" w:type="dxa"/>
            <w:vAlign w:val="center"/>
          </w:tcPr>
          <w:p w:rsidR="009F2334" w:rsidRPr="009F2334" w:rsidRDefault="009F2334" w:rsidP="009F2334">
            <w:pPr>
              <w:jc w:val="center"/>
              <w:rPr>
                <w:rFonts w:cs="Poppins"/>
                <w:b/>
              </w:rPr>
            </w:pPr>
            <w:r w:rsidRPr="009F2334">
              <w:rPr>
                <w:rFonts w:cs="Poppins"/>
                <w:b/>
              </w:rPr>
              <w:t>Used For</w:t>
            </w:r>
          </w:p>
        </w:tc>
        <w:tc>
          <w:tcPr>
            <w:tcW w:w="1985" w:type="dxa"/>
            <w:vAlign w:val="center"/>
          </w:tcPr>
          <w:p w:rsidR="009F2334" w:rsidRPr="009F2334" w:rsidRDefault="009F2334" w:rsidP="009F2334">
            <w:pPr>
              <w:jc w:val="center"/>
              <w:rPr>
                <w:rFonts w:cs="Poppins"/>
                <w:b/>
              </w:rPr>
            </w:pPr>
            <w:r w:rsidRPr="009F2334">
              <w:rPr>
                <w:rFonts w:cs="Poppins"/>
                <w:b/>
              </w:rPr>
              <w:t>Authenticity (1-3)</w:t>
            </w:r>
          </w:p>
        </w:tc>
        <w:tc>
          <w:tcPr>
            <w:tcW w:w="1931" w:type="dxa"/>
            <w:vAlign w:val="center"/>
          </w:tcPr>
          <w:p w:rsidR="009F2334" w:rsidRPr="009F2334" w:rsidRDefault="009F2334" w:rsidP="009F2334">
            <w:pPr>
              <w:jc w:val="center"/>
              <w:rPr>
                <w:rFonts w:cs="Poppins"/>
                <w:b/>
              </w:rPr>
            </w:pPr>
            <w:r w:rsidRPr="009F2334">
              <w:rPr>
                <w:rFonts w:cs="Poppins"/>
                <w:b/>
              </w:rPr>
              <w:t>Suitable for Group Work?</w:t>
            </w:r>
          </w:p>
        </w:tc>
      </w:tr>
      <w:tr w:rsidR="009F1302" w:rsidRPr="009F2334" w:rsidTr="009F1302">
        <w:tc>
          <w:tcPr>
            <w:tcW w:w="1838" w:type="dxa"/>
            <w:vAlign w:val="center"/>
          </w:tcPr>
          <w:p w:rsidR="009F2334" w:rsidRPr="00004F53" w:rsidRDefault="009F2334" w:rsidP="009F1302">
            <w:pPr>
              <w:spacing w:after="120"/>
              <w:rPr>
                <w:rFonts w:cs="Poppins"/>
                <w:b/>
                <w:szCs w:val="20"/>
              </w:rPr>
            </w:pPr>
            <w:r w:rsidRPr="00004F53">
              <w:rPr>
                <w:rFonts w:cs="Poppins"/>
                <w:b/>
                <w:szCs w:val="20"/>
              </w:rPr>
              <w:t>Essay</w:t>
            </w:r>
          </w:p>
        </w:tc>
        <w:tc>
          <w:tcPr>
            <w:tcW w:w="2346" w:type="dxa"/>
            <w:vAlign w:val="center"/>
          </w:tcPr>
          <w:p w:rsidR="009F2334" w:rsidRPr="00004F53" w:rsidRDefault="009F2334" w:rsidP="009F1302">
            <w:pPr>
              <w:spacing w:after="120"/>
              <w:rPr>
                <w:rFonts w:cs="Poppins"/>
                <w:szCs w:val="20"/>
              </w:rPr>
            </w:pPr>
            <w:r w:rsidRPr="00004F53">
              <w:rPr>
                <w:rFonts w:cs="Poppins"/>
                <w:szCs w:val="20"/>
              </w:rPr>
              <w:t>A coherent piece of</w:t>
            </w:r>
            <w:r w:rsidR="009F1302" w:rsidRPr="00004F53">
              <w:rPr>
                <w:rFonts w:cs="Poppins"/>
                <w:szCs w:val="20"/>
              </w:rPr>
              <w:t xml:space="preserve"> extended</w:t>
            </w:r>
            <w:r w:rsidRPr="00004F53">
              <w:rPr>
                <w:rFonts w:cs="Poppins"/>
                <w:szCs w:val="20"/>
              </w:rPr>
              <w:t xml:space="preserve"> writing that answers a specific question or responds to a specific title (e.g. a statement). Usually consists of introduction, main body and conclusion. </w:t>
            </w:r>
          </w:p>
        </w:tc>
        <w:tc>
          <w:tcPr>
            <w:tcW w:w="2332" w:type="dxa"/>
            <w:vAlign w:val="center"/>
          </w:tcPr>
          <w:p w:rsidR="009F1302" w:rsidRPr="00004F53" w:rsidRDefault="009F2334" w:rsidP="009F1302">
            <w:pPr>
              <w:spacing w:after="120"/>
              <w:rPr>
                <w:rFonts w:cs="Poppins"/>
                <w:szCs w:val="20"/>
              </w:rPr>
            </w:pPr>
            <w:r w:rsidRPr="00004F53">
              <w:rPr>
                <w:rFonts w:cs="Poppins"/>
                <w:szCs w:val="20"/>
              </w:rPr>
              <w:t xml:space="preserve">Written </w:t>
            </w:r>
            <w:r w:rsidR="009F1302" w:rsidRPr="00004F53">
              <w:rPr>
                <w:rFonts w:cs="Poppins"/>
                <w:szCs w:val="20"/>
              </w:rPr>
              <w:t>C</w:t>
            </w:r>
            <w:r w:rsidRPr="00004F53">
              <w:rPr>
                <w:rFonts w:cs="Poppins"/>
                <w:szCs w:val="20"/>
              </w:rPr>
              <w:t>ommunication</w:t>
            </w:r>
          </w:p>
          <w:p w:rsidR="009F1302" w:rsidRPr="00004F53" w:rsidRDefault="009F2334" w:rsidP="009F1302">
            <w:pPr>
              <w:spacing w:after="120"/>
              <w:rPr>
                <w:rFonts w:cs="Poppins"/>
                <w:szCs w:val="20"/>
              </w:rPr>
            </w:pPr>
            <w:r w:rsidRPr="00004F53">
              <w:rPr>
                <w:rFonts w:cs="Poppins"/>
                <w:szCs w:val="20"/>
              </w:rPr>
              <w:t xml:space="preserve">Literature </w:t>
            </w:r>
            <w:r w:rsidR="009F1302" w:rsidRPr="00004F53">
              <w:rPr>
                <w:rFonts w:cs="Poppins"/>
                <w:szCs w:val="20"/>
              </w:rPr>
              <w:t>R</w:t>
            </w:r>
            <w:r w:rsidRPr="00004F53">
              <w:rPr>
                <w:rFonts w:cs="Poppins"/>
                <w:szCs w:val="20"/>
              </w:rPr>
              <w:t>esearch</w:t>
            </w:r>
          </w:p>
          <w:p w:rsidR="009F1302" w:rsidRPr="00004F53" w:rsidRDefault="009F2334" w:rsidP="009F1302">
            <w:pPr>
              <w:spacing w:after="120"/>
              <w:rPr>
                <w:rFonts w:cs="Poppins"/>
                <w:szCs w:val="20"/>
              </w:rPr>
            </w:pPr>
            <w:r w:rsidRPr="00004F53">
              <w:rPr>
                <w:rFonts w:cs="Poppins"/>
                <w:szCs w:val="20"/>
              </w:rPr>
              <w:t xml:space="preserve">Evaluation </w:t>
            </w:r>
          </w:p>
          <w:p w:rsidR="009F1302" w:rsidRPr="00004F53" w:rsidRDefault="009F2334" w:rsidP="009F1302">
            <w:pPr>
              <w:spacing w:after="120"/>
              <w:rPr>
                <w:rFonts w:cs="Poppins"/>
                <w:szCs w:val="20"/>
              </w:rPr>
            </w:pPr>
            <w:r w:rsidRPr="00004F53">
              <w:rPr>
                <w:rFonts w:cs="Poppins"/>
                <w:szCs w:val="20"/>
              </w:rPr>
              <w:t xml:space="preserve">Synthesis </w:t>
            </w:r>
          </w:p>
          <w:p w:rsidR="009F1302" w:rsidRPr="00004F53" w:rsidRDefault="009F2334" w:rsidP="009F1302">
            <w:pPr>
              <w:spacing w:after="120"/>
              <w:rPr>
                <w:rFonts w:cs="Poppins"/>
                <w:szCs w:val="20"/>
              </w:rPr>
            </w:pPr>
            <w:r w:rsidRPr="00004F53">
              <w:rPr>
                <w:rFonts w:cs="Poppins"/>
                <w:szCs w:val="20"/>
              </w:rPr>
              <w:t xml:space="preserve">Criticality </w:t>
            </w:r>
          </w:p>
          <w:p w:rsidR="009F1302" w:rsidRPr="00004F53" w:rsidRDefault="009F1302" w:rsidP="009F1302">
            <w:pPr>
              <w:spacing w:after="120"/>
              <w:rPr>
                <w:rFonts w:cs="Poppins"/>
                <w:szCs w:val="20"/>
              </w:rPr>
            </w:pPr>
            <w:r w:rsidRPr="00004F53">
              <w:rPr>
                <w:rFonts w:cs="Poppins"/>
                <w:szCs w:val="20"/>
              </w:rPr>
              <w:t>Argument Development</w:t>
            </w:r>
          </w:p>
          <w:p w:rsidR="009F2334" w:rsidRPr="00004F53" w:rsidRDefault="009F2334" w:rsidP="009F1302">
            <w:pPr>
              <w:spacing w:after="120"/>
              <w:rPr>
                <w:rFonts w:cs="Poppins"/>
                <w:szCs w:val="20"/>
              </w:rPr>
            </w:pPr>
            <w:r w:rsidRPr="00004F53">
              <w:rPr>
                <w:rFonts w:cs="Poppins"/>
                <w:szCs w:val="20"/>
              </w:rPr>
              <w:t>Referencing</w:t>
            </w:r>
          </w:p>
        </w:tc>
        <w:tc>
          <w:tcPr>
            <w:tcW w:w="1984" w:type="dxa"/>
            <w:vAlign w:val="center"/>
          </w:tcPr>
          <w:p w:rsidR="009F2334" w:rsidRPr="00004F53" w:rsidRDefault="009F2334" w:rsidP="009F1302">
            <w:pPr>
              <w:spacing w:after="120"/>
              <w:rPr>
                <w:rFonts w:cs="Poppins"/>
                <w:szCs w:val="20"/>
              </w:rPr>
            </w:pPr>
            <w:r w:rsidRPr="00004F53">
              <w:rPr>
                <w:rFonts w:cs="Poppins"/>
                <w:szCs w:val="20"/>
              </w:rPr>
              <w:t>Familiar to staff and (most) students. Develops scientific writing, applicable to a variety of other formats.</w:t>
            </w:r>
          </w:p>
        </w:tc>
        <w:tc>
          <w:tcPr>
            <w:tcW w:w="1960" w:type="dxa"/>
            <w:vAlign w:val="center"/>
          </w:tcPr>
          <w:p w:rsidR="009F2334" w:rsidRPr="00004F53" w:rsidRDefault="009F2334" w:rsidP="009F1302">
            <w:pPr>
              <w:spacing w:after="120"/>
              <w:rPr>
                <w:rFonts w:cs="Poppins"/>
                <w:szCs w:val="20"/>
              </w:rPr>
            </w:pPr>
            <w:r w:rsidRPr="00004F53">
              <w:rPr>
                <w:rFonts w:cs="Poppins"/>
                <w:szCs w:val="20"/>
              </w:rPr>
              <w:t>Time consuming to mark and give feedback. Usually only covers a small part of the syllabus.</w:t>
            </w:r>
          </w:p>
        </w:tc>
        <w:tc>
          <w:tcPr>
            <w:tcW w:w="2092" w:type="dxa"/>
            <w:vAlign w:val="center"/>
          </w:tcPr>
          <w:p w:rsidR="009F2334" w:rsidRPr="00004F53" w:rsidRDefault="009F2334" w:rsidP="009F1302">
            <w:pPr>
              <w:spacing w:after="120"/>
              <w:rPr>
                <w:rFonts w:cs="Poppins"/>
                <w:szCs w:val="20"/>
              </w:rPr>
            </w:pPr>
            <w:r w:rsidRPr="00004F53">
              <w:rPr>
                <w:rFonts w:cs="Poppins"/>
                <w:szCs w:val="20"/>
              </w:rPr>
              <w:t>Significant risk of plagiarism of secondary material. Potential for contract cheating.</w:t>
            </w:r>
          </w:p>
        </w:tc>
        <w:tc>
          <w:tcPr>
            <w:tcW w:w="2469" w:type="dxa"/>
            <w:vAlign w:val="center"/>
          </w:tcPr>
          <w:p w:rsidR="009F2334" w:rsidRPr="00004F53" w:rsidRDefault="009F2334" w:rsidP="009F1302">
            <w:pPr>
              <w:spacing w:after="120"/>
              <w:rPr>
                <w:rFonts w:cs="Poppins"/>
                <w:szCs w:val="20"/>
              </w:rPr>
            </w:pPr>
            <w:r w:rsidRPr="00004F53">
              <w:rPr>
                <w:rFonts w:cs="Poppins"/>
                <w:szCs w:val="20"/>
              </w:rPr>
              <w:t>Outline or (at least) gesture towards AI policy/procedure in the assessment instructions. Provide formative assessment opportunities across teaching. Use of Turnitin/</w:t>
            </w:r>
            <w:proofErr w:type="spellStart"/>
            <w:r w:rsidRPr="00004F53">
              <w:rPr>
                <w:rFonts w:cs="Poppins"/>
                <w:szCs w:val="20"/>
              </w:rPr>
              <w:t>SpeedGrader</w:t>
            </w:r>
            <w:proofErr w:type="spellEnd"/>
            <w:r w:rsidRPr="00004F53">
              <w:rPr>
                <w:rFonts w:cs="Poppins"/>
                <w:szCs w:val="20"/>
              </w:rPr>
              <w:t xml:space="preserve">. Consistent adaptation of essay questions to prevent collusion between years. </w:t>
            </w:r>
          </w:p>
        </w:tc>
        <w:tc>
          <w:tcPr>
            <w:tcW w:w="1984" w:type="dxa"/>
            <w:vAlign w:val="center"/>
          </w:tcPr>
          <w:p w:rsidR="009F2334" w:rsidRPr="00004F53" w:rsidRDefault="009F2334" w:rsidP="009F1302">
            <w:pPr>
              <w:spacing w:after="120"/>
              <w:rPr>
                <w:rFonts w:cs="Poppins"/>
                <w:szCs w:val="20"/>
              </w:rPr>
            </w:pPr>
            <w:r w:rsidRPr="00004F53">
              <w:rPr>
                <w:rFonts w:cs="Poppins"/>
                <w:szCs w:val="20"/>
              </w:rPr>
              <w:t>Any</w:t>
            </w:r>
          </w:p>
        </w:tc>
        <w:tc>
          <w:tcPr>
            <w:tcW w:w="1985" w:type="dxa"/>
            <w:vAlign w:val="center"/>
          </w:tcPr>
          <w:p w:rsidR="009F2334" w:rsidRPr="00004F53" w:rsidRDefault="009F2334" w:rsidP="009F1302">
            <w:pPr>
              <w:spacing w:after="120"/>
              <w:rPr>
                <w:rFonts w:cs="Poppins"/>
                <w:szCs w:val="20"/>
              </w:rPr>
            </w:pPr>
            <w:r w:rsidRPr="00004F53">
              <w:rPr>
                <w:rFonts w:cs="Poppins"/>
                <w:szCs w:val="20"/>
              </w:rPr>
              <w:t>2</w:t>
            </w:r>
          </w:p>
        </w:tc>
        <w:tc>
          <w:tcPr>
            <w:tcW w:w="1931" w:type="dxa"/>
            <w:vAlign w:val="center"/>
          </w:tcPr>
          <w:p w:rsidR="009F2334" w:rsidRPr="00004F53" w:rsidRDefault="009F2334" w:rsidP="009F1302">
            <w:pPr>
              <w:spacing w:after="120"/>
              <w:rPr>
                <w:rFonts w:cs="Poppins"/>
                <w:szCs w:val="20"/>
              </w:rPr>
            </w:pPr>
            <w:r w:rsidRPr="00004F53">
              <w:rPr>
                <w:rFonts w:cs="Poppins"/>
                <w:szCs w:val="20"/>
              </w:rPr>
              <w:t>N</w:t>
            </w: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r w:rsidR="009F1302" w:rsidRPr="009F2334" w:rsidTr="009F1302">
        <w:tc>
          <w:tcPr>
            <w:tcW w:w="1838" w:type="dxa"/>
            <w:vAlign w:val="center"/>
          </w:tcPr>
          <w:p w:rsidR="009F2334" w:rsidRPr="009F1302" w:rsidRDefault="009F2334" w:rsidP="009F1302">
            <w:pPr>
              <w:spacing w:after="120"/>
              <w:rPr>
                <w:rFonts w:cs="Poppins"/>
                <w:b/>
                <w:sz w:val="16"/>
                <w:szCs w:val="16"/>
              </w:rPr>
            </w:pPr>
          </w:p>
        </w:tc>
        <w:tc>
          <w:tcPr>
            <w:tcW w:w="2346" w:type="dxa"/>
          </w:tcPr>
          <w:p w:rsidR="009F2334" w:rsidRPr="009F1302" w:rsidRDefault="009F2334" w:rsidP="009F1302">
            <w:pPr>
              <w:spacing w:after="120"/>
              <w:rPr>
                <w:rFonts w:cs="Poppins"/>
                <w:sz w:val="16"/>
                <w:szCs w:val="16"/>
              </w:rPr>
            </w:pPr>
          </w:p>
        </w:tc>
        <w:tc>
          <w:tcPr>
            <w:tcW w:w="2332"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60" w:type="dxa"/>
          </w:tcPr>
          <w:p w:rsidR="009F2334" w:rsidRPr="009F1302" w:rsidRDefault="009F2334" w:rsidP="009F1302">
            <w:pPr>
              <w:spacing w:after="120"/>
              <w:rPr>
                <w:rFonts w:cs="Poppins"/>
                <w:sz w:val="16"/>
                <w:szCs w:val="16"/>
              </w:rPr>
            </w:pPr>
          </w:p>
        </w:tc>
        <w:tc>
          <w:tcPr>
            <w:tcW w:w="2092" w:type="dxa"/>
          </w:tcPr>
          <w:p w:rsidR="009F2334" w:rsidRPr="009F1302" w:rsidRDefault="009F2334" w:rsidP="009F1302">
            <w:pPr>
              <w:spacing w:after="120"/>
              <w:rPr>
                <w:rFonts w:cs="Poppins"/>
                <w:sz w:val="16"/>
                <w:szCs w:val="16"/>
              </w:rPr>
            </w:pPr>
          </w:p>
        </w:tc>
        <w:tc>
          <w:tcPr>
            <w:tcW w:w="2469" w:type="dxa"/>
          </w:tcPr>
          <w:p w:rsidR="009F2334" w:rsidRPr="009F1302" w:rsidRDefault="009F2334" w:rsidP="009F1302">
            <w:pPr>
              <w:spacing w:after="120"/>
              <w:rPr>
                <w:rFonts w:cs="Poppins"/>
                <w:sz w:val="16"/>
                <w:szCs w:val="16"/>
              </w:rPr>
            </w:pPr>
          </w:p>
        </w:tc>
        <w:tc>
          <w:tcPr>
            <w:tcW w:w="1984" w:type="dxa"/>
          </w:tcPr>
          <w:p w:rsidR="009F2334" w:rsidRPr="009F1302" w:rsidRDefault="009F2334" w:rsidP="009F1302">
            <w:pPr>
              <w:spacing w:after="120"/>
              <w:rPr>
                <w:rFonts w:cs="Poppins"/>
                <w:sz w:val="16"/>
                <w:szCs w:val="16"/>
              </w:rPr>
            </w:pPr>
          </w:p>
        </w:tc>
        <w:tc>
          <w:tcPr>
            <w:tcW w:w="1985" w:type="dxa"/>
          </w:tcPr>
          <w:p w:rsidR="009F2334" w:rsidRPr="009F1302" w:rsidRDefault="009F2334" w:rsidP="009F1302">
            <w:pPr>
              <w:spacing w:after="120"/>
              <w:rPr>
                <w:rFonts w:cs="Poppins"/>
                <w:sz w:val="16"/>
                <w:szCs w:val="16"/>
              </w:rPr>
            </w:pPr>
          </w:p>
        </w:tc>
        <w:tc>
          <w:tcPr>
            <w:tcW w:w="1931" w:type="dxa"/>
          </w:tcPr>
          <w:p w:rsidR="009F2334" w:rsidRPr="009F1302" w:rsidRDefault="009F2334" w:rsidP="009F1302">
            <w:pPr>
              <w:spacing w:after="120"/>
              <w:rPr>
                <w:rFonts w:cs="Poppins"/>
                <w:sz w:val="16"/>
                <w:szCs w:val="16"/>
              </w:rPr>
            </w:pPr>
          </w:p>
        </w:tc>
      </w:tr>
    </w:tbl>
    <w:p w:rsidR="009F2334" w:rsidRDefault="009F2334">
      <w:pPr>
        <w:rPr>
          <w:rFonts w:cs="Poppins"/>
        </w:rPr>
      </w:pPr>
    </w:p>
    <w:p w:rsidR="009B3B1C" w:rsidRPr="009B3B1C" w:rsidRDefault="009B3B1C" w:rsidP="009B3B1C">
      <w:pPr>
        <w:pStyle w:val="Heading2"/>
        <w:spacing w:before="800"/>
      </w:pPr>
      <w:r w:rsidRPr="009B3B1C">
        <w:lastRenderedPageBreak/>
        <w:t>Examinations</w:t>
      </w:r>
    </w:p>
    <w:tbl>
      <w:tblPr>
        <w:tblStyle w:val="TableGrid"/>
        <w:tblW w:w="0" w:type="auto"/>
        <w:tblLook w:val="04A0" w:firstRow="1" w:lastRow="0" w:firstColumn="1" w:lastColumn="0" w:noHBand="0" w:noVBand="1"/>
      </w:tblPr>
      <w:tblGrid>
        <w:gridCol w:w="1838"/>
        <w:gridCol w:w="2346"/>
        <w:gridCol w:w="2332"/>
        <w:gridCol w:w="1984"/>
        <w:gridCol w:w="1960"/>
        <w:gridCol w:w="2092"/>
        <w:gridCol w:w="2469"/>
        <w:gridCol w:w="1984"/>
        <w:gridCol w:w="1985"/>
        <w:gridCol w:w="1931"/>
      </w:tblGrid>
      <w:tr w:rsidR="009B3B1C" w:rsidRPr="009F2334" w:rsidTr="00085D21">
        <w:tc>
          <w:tcPr>
            <w:tcW w:w="1838" w:type="dxa"/>
            <w:vAlign w:val="center"/>
          </w:tcPr>
          <w:p w:rsidR="009B3B1C" w:rsidRPr="009F2334" w:rsidRDefault="009B3B1C" w:rsidP="00085D21">
            <w:pPr>
              <w:jc w:val="center"/>
              <w:rPr>
                <w:rFonts w:cs="Poppins"/>
                <w:b/>
              </w:rPr>
            </w:pPr>
            <w:r w:rsidRPr="009F2334">
              <w:rPr>
                <w:rFonts w:cs="Poppins"/>
                <w:b/>
              </w:rPr>
              <w:t>Assessment Type</w:t>
            </w:r>
          </w:p>
        </w:tc>
        <w:tc>
          <w:tcPr>
            <w:tcW w:w="2346" w:type="dxa"/>
            <w:vAlign w:val="center"/>
          </w:tcPr>
          <w:p w:rsidR="009B3B1C" w:rsidRPr="009F2334" w:rsidRDefault="009B3B1C" w:rsidP="00085D21">
            <w:pPr>
              <w:jc w:val="center"/>
              <w:rPr>
                <w:rFonts w:cs="Poppins"/>
                <w:b/>
              </w:rPr>
            </w:pPr>
            <w:r w:rsidRPr="009F2334">
              <w:rPr>
                <w:rFonts w:cs="Poppins"/>
                <w:b/>
              </w:rPr>
              <w:t>Brief Description</w:t>
            </w:r>
          </w:p>
        </w:tc>
        <w:tc>
          <w:tcPr>
            <w:tcW w:w="2332" w:type="dxa"/>
            <w:vAlign w:val="center"/>
          </w:tcPr>
          <w:p w:rsidR="009B3B1C" w:rsidRPr="009F2334" w:rsidRDefault="009B3B1C" w:rsidP="00085D21">
            <w:pPr>
              <w:jc w:val="center"/>
              <w:rPr>
                <w:rFonts w:cs="Poppins"/>
                <w:b/>
              </w:rPr>
            </w:pPr>
            <w:r w:rsidRPr="009F2334">
              <w:rPr>
                <w:rFonts w:cs="Poppins"/>
                <w:b/>
              </w:rPr>
              <w:t>Skills Tested/ Developed</w:t>
            </w:r>
          </w:p>
        </w:tc>
        <w:tc>
          <w:tcPr>
            <w:tcW w:w="1984" w:type="dxa"/>
            <w:vAlign w:val="center"/>
          </w:tcPr>
          <w:p w:rsidR="009B3B1C" w:rsidRPr="009F2334" w:rsidRDefault="009B3B1C" w:rsidP="00085D21">
            <w:pPr>
              <w:jc w:val="center"/>
              <w:rPr>
                <w:rFonts w:cs="Poppins"/>
                <w:b/>
              </w:rPr>
            </w:pPr>
            <w:r w:rsidRPr="009F2334">
              <w:rPr>
                <w:rFonts w:cs="Poppins"/>
                <w:b/>
              </w:rPr>
              <w:t>Pros</w:t>
            </w:r>
          </w:p>
        </w:tc>
        <w:tc>
          <w:tcPr>
            <w:tcW w:w="1960" w:type="dxa"/>
            <w:vAlign w:val="center"/>
          </w:tcPr>
          <w:p w:rsidR="009B3B1C" w:rsidRPr="009F2334" w:rsidRDefault="009B3B1C" w:rsidP="00085D21">
            <w:pPr>
              <w:jc w:val="center"/>
              <w:rPr>
                <w:rFonts w:cs="Poppins"/>
                <w:b/>
              </w:rPr>
            </w:pPr>
            <w:r w:rsidRPr="009F2334">
              <w:rPr>
                <w:rFonts w:cs="Poppins"/>
                <w:b/>
              </w:rPr>
              <w:t>Cons</w:t>
            </w:r>
          </w:p>
        </w:tc>
        <w:tc>
          <w:tcPr>
            <w:tcW w:w="2092" w:type="dxa"/>
            <w:vAlign w:val="center"/>
          </w:tcPr>
          <w:p w:rsidR="009B3B1C" w:rsidRPr="009F2334" w:rsidRDefault="009B3B1C" w:rsidP="00085D21">
            <w:pPr>
              <w:jc w:val="center"/>
              <w:rPr>
                <w:rFonts w:cs="Poppins"/>
                <w:b/>
              </w:rPr>
            </w:pPr>
            <w:r w:rsidRPr="009F2334">
              <w:rPr>
                <w:rFonts w:cs="Poppins"/>
                <w:b/>
              </w:rPr>
              <w:t>Potential Integrity Issues</w:t>
            </w:r>
          </w:p>
        </w:tc>
        <w:tc>
          <w:tcPr>
            <w:tcW w:w="2469" w:type="dxa"/>
            <w:vAlign w:val="center"/>
          </w:tcPr>
          <w:p w:rsidR="009B3B1C" w:rsidRPr="009F2334" w:rsidRDefault="009B3B1C" w:rsidP="00085D21">
            <w:pPr>
              <w:jc w:val="center"/>
              <w:rPr>
                <w:rFonts w:cs="Poppins"/>
                <w:b/>
              </w:rPr>
            </w:pPr>
            <w:r w:rsidRPr="009F2334">
              <w:rPr>
                <w:rFonts w:cs="Poppins"/>
                <w:b/>
              </w:rPr>
              <w:t>Potential Solutions</w:t>
            </w:r>
          </w:p>
        </w:tc>
        <w:tc>
          <w:tcPr>
            <w:tcW w:w="1984" w:type="dxa"/>
            <w:vAlign w:val="center"/>
          </w:tcPr>
          <w:p w:rsidR="009B3B1C" w:rsidRPr="009F2334" w:rsidRDefault="009B3B1C" w:rsidP="00085D21">
            <w:pPr>
              <w:jc w:val="center"/>
              <w:rPr>
                <w:rFonts w:cs="Poppins"/>
                <w:b/>
              </w:rPr>
            </w:pPr>
            <w:r w:rsidRPr="009F2334">
              <w:rPr>
                <w:rFonts w:cs="Poppins"/>
                <w:b/>
              </w:rPr>
              <w:t>Used For</w:t>
            </w:r>
          </w:p>
        </w:tc>
        <w:tc>
          <w:tcPr>
            <w:tcW w:w="1985" w:type="dxa"/>
            <w:vAlign w:val="center"/>
          </w:tcPr>
          <w:p w:rsidR="009B3B1C" w:rsidRPr="009F2334" w:rsidRDefault="009B3B1C" w:rsidP="00085D21">
            <w:pPr>
              <w:jc w:val="center"/>
              <w:rPr>
                <w:rFonts w:cs="Poppins"/>
                <w:b/>
              </w:rPr>
            </w:pPr>
            <w:r w:rsidRPr="009F2334">
              <w:rPr>
                <w:rFonts w:cs="Poppins"/>
                <w:b/>
              </w:rPr>
              <w:t>Authenticity (1-3)</w:t>
            </w:r>
          </w:p>
        </w:tc>
        <w:tc>
          <w:tcPr>
            <w:tcW w:w="1931" w:type="dxa"/>
            <w:vAlign w:val="center"/>
          </w:tcPr>
          <w:p w:rsidR="009B3B1C" w:rsidRPr="009F2334" w:rsidRDefault="009B3B1C" w:rsidP="00085D21">
            <w:pPr>
              <w:jc w:val="center"/>
              <w:rPr>
                <w:rFonts w:cs="Poppins"/>
                <w:b/>
              </w:rPr>
            </w:pPr>
            <w:r w:rsidRPr="009F2334">
              <w:rPr>
                <w:rFonts w:cs="Poppins"/>
                <w:b/>
              </w:rPr>
              <w:t>Suitable for Group Work?</w:t>
            </w:r>
          </w:p>
        </w:tc>
      </w:tr>
      <w:tr w:rsidR="009B3B1C" w:rsidRPr="00004F53" w:rsidTr="00085D21">
        <w:tc>
          <w:tcPr>
            <w:tcW w:w="1838" w:type="dxa"/>
            <w:vAlign w:val="center"/>
          </w:tcPr>
          <w:p w:rsidR="009B3B1C" w:rsidRPr="00004F53" w:rsidRDefault="009B3B1C" w:rsidP="00085D21">
            <w:pPr>
              <w:spacing w:after="120"/>
              <w:rPr>
                <w:rFonts w:cs="Poppins"/>
                <w:b/>
                <w:szCs w:val="20"/>
              </w:rPr>
            </w:pPr>
            <w:r w:rsidRPr="00004F53">
              <w:rPr>
                <w:rFonts w:cs="Poppins"/>
                <w:b/>
                <w:szCs w:val="20"/>
              </w:rPr>
              <w:t>Written Exam</w:t>
            </w:r>
          </w:p>
        </w:tc>
        <w:tc>
          <w:tcPr>
            <w:tcW w:w="2346" w:type="dxa"/>
            <w:vAlign w:val="center"/>
          </w:tcPr>
          <w:p w:rsidR="009B3B1C" w:rsidRPr="00004F53" w:rsidRDefault="009B3B1C" w:rsidP="00085D21">
            <w:pPr>
              <w:spacing w:after="120"/>
              <w:rPr>
                <w:rFonts w:cs="Poppins"/>
                <w:szCs w:val="20"/>
              </w:rPr>
            </w:pPr>
            <w:r w:rsidRPr="00004F53">
              <w:rPr>
                <w:rFonts w:cs="Poppins"/>
                <w:szCs w:val="20"/>
              </w:rPr>
              <w:t>Usually a set of questions that may vary in length and format. Formats are usually either short answer questions or essays, but could also include annotated diagrams, problem solving, etc. Students cannot consult sources.</w:t>
            </w:r>
          </w:p>
        </w:tc>
        <w:tc>
          <w:tcPr>
            <w:tcW w:w="2332" w:type="dxa"/>
            <w:vAlign w:val="center"/>
          </w:tcPr>
          <w:p w:rsidR="009B3B1C" w:rsidRPr="00004F53" w:rsidRDefault="009B3B1C" w:rsidP="00085D21">
            <w:pPr>
              <w:spacing w:after="120"/>
              <w:rPr>
                <w:rFonts w:cs="Poppins"/>
                <w:szCs w:val="20"/>
              </w:rPr>
            </w:pPr>
            <w:r w:rsidRPr="00004F53">
              <w:rPr>
                <w:rFonts w:cs="Poppins"/>
                <w:szCs w:val="20"/>
              </w:rPr>
              <w:t>Knowledge</w:t>
            </w:r>
          </w:p>
          <w:p w:rsidR="009B3B1C" w:rsidRPr="00004F53" w:rsidRDefault="009B3B1C" w:rsidP="00085D21">
            <w:pPr>
              <w:spacing w:after="120"/>
              <w:rPr>
                <w:rFonts w:cs="Poppins"/>
                <w:szCs w:val="20"/>
              </w:rPr>
            </w:pPr>
            <w:r w:rsidRPr="00004F53">
              <w:rPr>
                <w:rFonts w:cs="Poppins"/>
                <w:szCs w:val="20"/>
              </w:rPr>
              <w:t>Understanding</w:t>
            </w:r>
          </w:p>
          <w:p w:rsidR="009B3B1C" w:rsidRPr="00004F53" w:rsidRDefault="009B3B1C" w:rsidP="00085D21">
            <w:pPr>
              <w:spacing w:after="120"/>
              <w:rPr>
                <w:rFonts w:cs="Poppins"/>
                <w:szCs w:val="20"/>
              </w:rPr>
            </w:pPr>
            <w:r w:rsidRPr="00004F53">
              <w:rPr>
                <w:rFonts w:cs="Poppins"/>
                <w:szCs w:val="20"/>
              </w:rPr>
              <w:t>Application</w:t>
            </w:r>
          </w:p>
          <w:p w:rsidR="009B3B1C" w:rsidRPr="00004F53" w:rsidRDefault="009B3B1C" w:rsidP="00085D21">
            <w:pPr>
              <w:spacing w:after="120"/>
              <w:rPr>
                <w:rFonts w:cs="Poppins"/>
                <w:szCs w:val="20"/>
              </w:rPr>
            </w:pPr>
            <w:r w:rsidRPr="00004F53">
              <w:rPr>
                <w:rFonts w:cs="Poppins"/>
                <w:szCs w:val="20"/>
              </w:rPr>
              <w:t>Problem solving</w:t>
            </w:r>
          </w:p>
          <w:p w:rsidR="009B3B1C" w:rsidRPr="00004F53" w:rsidRDefault="009B3B1C" w:rsidP="00085D21">
            <w:pPr>
              <w:spacing w:after="120"/>
              <w:rPr>
                <w:rFonts w:cs="Poppins"/>
                <w:szCs w:val="20"/>
              </w:rPr>
            </w:pPr>
            <w:r w:rsidRPr="00004F53">
              <w:rPr>
                <w:rFonts w:cs="Poppins"/>
                <w:szCs w:val="20"/>
              </w:rPr>
              <w:t>Written communication</w:t>
            </w:r>
          </w:p>
          <w:p w:rsidR="009B3B1C" w:rsidRPr="00004F53" w:rsidRDefault="009B3B1C" w:rsidP="00085D21">
            <w:pPr>
              <w:spacing w:after="120"/>
              <w:rPr>
                <w:rFonts w:cs="Poppins"/>
                <w:szCs w:val="20"/>
              </w:rPr>
            </w:pPr>
            <w:r w:rsidRPr="00004F53">
              <w:rPr>
                <w:rFonts w:cs="Poppins"/>
                <w:szCs w:val="20"/>
              </w:rPr>
              <w:t>Essays: synthesis and evaluation</w:t>
            </w:r>
          </w:p>
        </w:tc>
        <w:tc>
          <w:tcPr>
            <w:tcW w:w="1984" w:type="dxa"/>
            <w:vAlign w:val="center"/>
          </w:tcPr>
          <w:p w:rsidR="009B3B1C" w:rsidRPr="00004F53" w:rsidRDefault="009B3B1C" w:rsidP="00085D21">
            <w:pPr>
              <w:spacing w:after="120"/>
              <w:rPr>
                <w:rFonts w:cs="Poppins"/>
                <w:szCs w:val="20"/>
              </w:rPr>
            </w:pPr>
            <w:r w:rsidRPr="00004F53">
              <w:rPr>
                <w:rFonts w:cs="Poppins"/>
                <w:szCs w:val="20"/>
              </w:rPr>
              <w:t>Short answer questions can test a wide range of topics. Requires students to revise the whole syllabus (unseen questions).</w:t>
            </w:r>
          </w:p>
        </w:tc>
        <w:tc>
          <w:tcPr>
            <w:tcW w:w="1960" w:type="dxa"/>
            <w:vAlign w:val="center"/>
          </w:tcPr>
          <w:p w:rsidR="009B3B1C" w:rsidRPr="00004F53" w:rsidRDefault="009B3B1C" w:rsidP="00085D21">
            <w:pPr>
              <w:spacing w:after="120"/>
              <w:rPr>
                <w:rFonts w:cs="Poppins"/>
                <w:szCs w:val="20"/>
              </w:rPr>
            </w:pPr>
            <w:r w:rsidRPr="00004F53">
              <w:rPr>
                <w:rFonts w:cs="Poppins"/>
                <w:szCs w:val="20"/>
              </w:rPr>
              <w:t xml:space="preserve">Marking of hand-written answers can be difficult. </w:t>
            </w:r>
          </w:p>
          <w:p w:rsidR="009B3B1C" w:rsidRPr="00004F53" w:rsidRDefault="009B3B1C" w:rsidP="00085D21">
            <w:pPr>
              <w:spacing w:after="120"/>
              <w:rPr>
                <w:rFonts w:cs="Poppins"/>
                <w:szCs w:val="20"/>
              </w:rPr>
            </w:pPr>
            <w:r w:rsidRPr="00004F53">
              <w:rPr>
                <w:rFonts w:cs="Poppins"/>
                <w:szCs w:val="20"/>
              </w:rPr>
              <w:t>Time consuming to mark esp. with large classes.</w:t>
            </w:r>
          </w:p>
          <w:p w:rsidR="009B3B1C" w:rsidRPr="00004F53" w:rsidRDefault="009B3B1C" w:rsidP="00085D21">
            <w:pPr>
              <w:spacing w:after="120"/>
              <w:rPr>
                <w:rFonts w:cs="Poppins"/>
                <w:szCs w:val="20"/>
              </w:rPr>
            </w:pPr>
            <w:r w:rsidRPr="00004F53">
              <w:rPr>
                <w:rFonts w:cs="Poppins"/>
                <w:szCs w:val="20"/>
              </w:rPr>
              <w:t>Stressful for students.</w:t>
            </w:r>
          </w:p>
          <w:p w:rsidR="009B3B1C" w:rsidRPr="00004F53" w:rsidRDefault="009B3B1C" w:rsidP="00085D21">
            <w:pPr>
              <w:spacing w:after="120"/>
              <w:rPr>
                <w:rFonts w:cs="Poppins"/>
                <w:szCs w:val="20"/>
              </w:rPr>
            </w:pPr>
            <w:r w:rsidRPr="00004F53">
              <w:rPr>
                <w:rFonts w:cs="Poppins"/>
                <w:szCs w:val="20"/>
              </w:rPr>
              <w:t xml:space="preserve">Relies on memorisation. </w:t>
            </w:r>
          </w:p>
        </w:tc>
        <w:tc>
          <w:tcPr>
            <w:tcW w:w="2092" w:type="dxa"/>
            <w:vAlign w:val="center"/>
          </w:tcPr>
          <w:p w:rsidR="009B3B1C" w:rsidRPr="00004F53" w:rsidRDefault="009B3B1C" w:rsidP="00085D21">
            <w:pPr>
              <w:spacing w:after="120"/>
              <w:rPr>
                <w:rFonts w:cs="Poppins"/>
                <w:szCs w:val="20"/>
              </w:rPr>
            </w:pPr>
            <w:r w:rsidRPr="00004F53">
              <w:rPr>
                <w:rFonts w:cs="Poppins"/>
                <w:szCs w:val="20"/>
              </w:rPr>
              <w:t xml:space="preserve">Potential use of hidden notes or concealed devices in examination situation, however this is perhaps unlikely. Potential for copying and/or collusion. </w:t>
            </w:r>
          </w:p>
        </w:tc>
        <w:tc>
          <w:tcPr>
            <w:tcW w:w="2469" w:type="dxa"/>
            <w:vAlign w:val="center"/>
          </w:tcPr>
          <w:p w:rsidR="009B3B1C" w:rsidRPr="00004F53" w:rsidRDefault="009B3B1C" w:rsidP="00085D21">
            <w:pPr>
              <w:spacing w:after="120"/>
              <w:rPr>
                <w:rFonts w:cs="Poppins"/>
                <w:szCs w:val="20"/>
              </w:rPr>
            </w:pPr>
            <w:r w:rsidRPr="00004F53">
              <w:rPr>
                <w:rFonts w:cs="Poppins"/>
                <w:szCs w:val="20"/>
              </w:rPr>
              <w:t>Outline or (at least) gesture towards AI policy/procedure in the assessment instructions. Effective invigilation. Check students’ IDs. Consider the question design to mitigate the opportunity for cheating.</w:t>
            </w:r>
          </w:p>
        </w:tc>
        <w:tc>
          <w:tcPr>
            <w:tcW w:w="1984" w:type="dxa"/>
            <w:vAlign w:val="center"/>
          </w:tcPr>
          <w:p w:rsidR="009B3B1C" w:rsidRPr="00004F53" w:rsidRDefault="009B3B1C" w:rsidP="00085D21">
            <w:pPr>
              <w:spacing w:after="120"/>
              <w:rPr>
                <w:rFonts w:cs="Poppins"/>
                <w:szCs w:val="20"/>
              </w:rPr>
            </w:pPr>
            <w:r w:rsidRPr="00004F53">
              <w:rPr>
                <w:rFonts w:cs="Poppins"/>
                <w:szCs w:val="20"/>
              </w:rPr>
              <w:t xml:space="preserve">Any </w:t>
            </w:r>
          </w:p>
        </w:tc>
        <w:tc>
          <w:tcPr>
            <w:tcW w:w="1985" w:type="dxa"/>
            <w:vAlign w:val="center"/>
          </w:tcPr>
          <w:p w:rsidR="009B3B1C" w:rsidRPr="00004F53" w:rsidRDefault="009B3B1C" w:rsidP="00085D21">
            <w:pPr>
              <w:spacing w:after="120"/>
              <w:rPr>
                <w:rFonts w:cs="Poppins"/>
                <w:szCs w:val="20"/>
              </w:rPr>
            </w:pPr>
            <w:r w:rsidRPr="00004F53">
              <w:rPr>
                <w:rFonts w:cs="Poppins"/>
                <w:szCs w:val="20"/>
              </w:rPr>
              <w:t>1</w:t>
            </w:r>
          </w:p>
        </w:tc>
        <w:tc>
          <w:tcPr>
            <w:tcW w:w="1931" w:type="dxa"/>
            <w:vAlign w:val="center"/>
          </w:tcPr>
          <w:p w:rsidR="009B3B1C" w:rsidRPr="00004F53" w:rsidRDefault="009B3B1C" w:rsidP="00085D21">
            <w:pPr>
              <w:spacing w:after="120"/>
              <w:rPr>
                <w:rFonts w:cs="Poppins"/>
                <w:szCs w:val="20"/>
              </w:rPr>
            </w:pPr>
            <w:r w:rsidRPr="00004F53">
              <w:rPr>
                <w:rFonts w:cs="Poppins"/>
                <w:szCs w:val="20"/>
              </w:rPr>
              <w:t>N</w:t>
            </w: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r w:rsidR="009B3B1C" w:rsidRPr="009F1302" w:rsidTr="00085D21">
        <w:tc>
          <w:tcPr>
            <w:tcW w:w="1838" w:type="dxa"/>
            <w:vAlign w:val="center"/>
          </w:tcPr>
          <w:p w:rsidR="009B3B1C" w:rsidRPr="009F1302" w:rsidRDefault="009B3B1C" w:rsidP="00085D21">
            <w:pPr>
              <w:spacing w:after="120"/>
              <w:rPr>
                <w:rFonts w:cs="Poppins"/>
                <w:b/>
                <w:sz w:val="16"/>
                <w:szCs w:val="16"/>
              </w:rPr>
            </w:pPr>
          </w:p>
        </w:tc>
        <w:tc>
          <w:tcPr>
            <w:tcW w:w="2346" w:type="dxa"/>
          </w:tcPr>
          <w:p w:rsidR="009B3B1C" w:rsidRPr="009F1302" w:rsidRDefault="009B3B1C" w:rsidP="00085D21">
            <w:pPr>
              <w:spacing w:after="120"/>
              <w:rPr>
                <w:rFonts w:cs="Poppins"/>
                <w:sz w:val="16"/>
                <w:szCs w:val="16"/>
              </w:rPr>
            </w:pPr>
          </w:p>
        </w:tc>
        <w:tc>
          <w:tcPr>
            <w:tcW w:w="2332"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60" w:type="dxa"/>
          </w:tcPr>
          <w:p w:rsidR="009B3B1C" w:rsidRPr="009F1302" w:rsidRDefault="009B3B1C" w:rsidP="00085D21">
            <w:pPr>
              <w:spacing w:after="120"/>
              <w:rPr>
                <w:rFonts w:cs="Poppins"/>
                <w:sz w:val="16"/>
                <w:szCs w:val="16"/>
              </w:rPr>
            </w:pPr>
          </w:p>
        </w:tc>
        <w:tc>
          <w:tcPr>
            <w:tcW w:w="2092" w:type="dxa"/>
          </w:tcPr>
          <w:p w:rsidR="009B3B1C" w:rsidRPr="009F1302" w:rsidRDefault="009B3B1C" w:rsidP="00085D21">
            <w:pPr>
              <w:spacing w:after="120"/>
              <w:rPr>
                <w:rFonts w:cs="Poppins"/>
                <w:sz w:val="16"/>
                <w:szCs w:val="16"/>
              </w:rPr>
            </w:pPr>
          </w:p>
        </w:tc>
        <w:tc>
          <w:tcPr>
            <w:tcW w:w="2469" w:type="dxa"/>
          </w:tcPr>
          <w:p w:rsidR="009B3B1C" w:rsidRPr="009F1302" w:rsidRDefault="009B3B1C" w:rsidP="00085D21">
            <w:pPr>
              <w:spacing w:after="120"/>
              <w:rPr>
                <w:rFonts w:cs="Poppins"/>
                <w:sz w:val="16"/>
                <w:szCs w:val="16"/>
              </w:rPr>
            </w:pPr>
          </w:p>
        </w:tc>
        <w:tc>
          <w:tcPr>
            <w:tcW w:w="1984" w:type="dxa"/>
          </w:tcPr>
          <w:p w:rsidR="009B3B1C" w:rsidRPr="009F1302" w:rsidRDefault="009B3B1C" w:rsidP="00085D21">
            <w:pPr>
              <w:spacing w:after="120"/>
              <w:rPr>
                <w:rFonts w:cs="Poppins"/>
                <w:sz w:val="16"/>
                <w:szCs w:val="16"/>
              </w:rPr>
            </w:pPr>
          </w:p>
        </w:tc>
        <w:tc>
          <w:tcPr>
            <w:tcW w:w="1985" w:type="dxa"/>
          </w:tcPr>
          <w:p w:rsidR="009B3B1C" w:rsidRPr="009F1302" w:rsidRDefault="009B3B1C" w:rsidP="00085D21">
            <w:pPr>
              <w:spacing w:after="120"/>
              <w:rPr>
                <w:rFonts w:cs="Poppins"/>
                <w:sz w:val="16"/>
                <w:szCs w:val="16"/>
              </w:rPr>
            </w:pPr>
          </w:p>
        </w:tc>
        <w:tc>
          <w:tcPr>
            <w:tcW w:w="1931" w:type="dxa"/>
          </w:tcPr>
          <w:p w:rsidR="009B3B1C" w:rsidRPr="009F1302" w:rsidRDefault="009B3B1C" w:rsidP="00085D21">
            <w:pPr>
              <w:spacing w:after="120"/>
              <w:rPr>
                <w:rFonts w:cs="Poppins"/>
                <w:sz w:val="16"/>
                <w:szCs w:val="16"/>
              </w:rPr>
            </w:pPr>
          </w:p>
        </w:tc>
      </w:tr>
    </w:tbl>
    <w:p w:rsidR="009B3B1C" w:rsidRPr="009F2334" w:rsidRDefault="009B3B1C">
      <w:pPr>
        <w:rPr>
          <w:rFonts w:cs="Poppins"/>
        </w:rPr>
      </w:pPr>
    </w:p>
    <w:sectPr w:rsidR="009B3B1C" w:rsidRPr="009F2334" w:rsidSect="009F233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18B" w:rsidRDefault="00D3718B" w:rsidP="009F2334">
      <w:pPr>
        <w:spacing w:after="0" w:line="240" w:lineRule="auto"/>
      </w:pPr>
      <w:r>
        <w:separator/>
      </w:r>
    </w:p>
  </w:endnote>
  <w:endnote w:type="continuationSeparator" w:id="0">
    <w:p w:rsidR="00D3718B" w:rsidRDefault="00D3718B" w:rsidP="009F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1908497346"/>
      <w:docPartObj>
        <w:docPartGallery w:val="Page Numbers (Bottom of Page)"/>
        <w:docPartUnique/>
      </w:docPartObj>
    </w:sdtPr>
    <w:sdtEndPr>
      <w:rPr>
        <w:noProof/>
      </w:rPr>
    </w:sdtEndPr>
    <w:sdtContent>
      <w:p w:rsidR="009F2334" w:rsidRPr="009F2334" w:rsidRDefault="009F2334">
        <w:pPr>
          <w:pStyle w:val="Footer"/>
          <w:jc w:val="center"/>
          <w:rPr>
            <w:rFonts w:cs="Poppins"/>
          </w:rPr>
        </w:pPr>
        <w:r w:rsidRPr="009F2334">
          <w:rPr>
            <w:rFonts w:cs="Poppins"/>
          </w:rPr>
          <w:fldChar w:fldCharType="begin"/>
        </w:r>
        <w:r w:rsidRPr="009F2334">
          <w:rPr>
            <w:rFonts w:cs="Poppins"/>
          </w:rPr>
          <w:instrText xml:space="preserve"> PAGE   \* MERGEFORMAT </w:instrText>
        </w:r>
        <w:r w:rsidRPr="009F2334">
          <w:rPr>
            <w:rFonts w:cs="Poppins"/>
          </w:rPr>
          <w:fldChar w:fldCharType="separate"/>
        </w:r>
        <w:r w:rsidRPr="009F2334">
          <w:rPr>
            <w:rFonts w:cs="Poppins"/>
            <w:noProof/>
          </w:rPr>
          <w:t>2</w:t>
        </w:r>
        <w:r w:rsidRPr="009F2334">
          <w:rPr>
            <w:rFonts w:cs="Poppins"/>
            <w:noProof/>
          </w:rPr>
          <w:fldChar w:fldCharType="end"/>
        </w:r>
      </w:p>
    </w:sdtContent>
  </w:sdt>
  <w:p w:rsidR="009F2334" w:rsidRPr="009F2334" w:rsidRDefault="009F2334">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18B" w:rsidRDefault="00D3718B" w:rsidP="009F2334">
      <w:pPr>
        <w:spacing w:after="0" w:line="240" w:lineRule="auto"/>
      </w:pPr>
      <w:r>
        <w:separator/>
      </w:r>
    </w:p>
  </w:footnote>
  <w:footnote w:type="continuationSeparator" w:id="0">
    <w:p w:rsidR="00D3718B" w:rsidRDefault="00D3718B" w:rsidP="009F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45" w:rsidRDefault="00356F7C" w:rsidP="00356F7C">
    <w:pPr>
      <w:pStyle w:val="Header"/>
      <w:spacing w:after="400"/>
    </w:pPr>
    <w:r>
      <w:rPr>
        <w:noProof/>
      </w:rPr>
      <w:ptab w:relativeTo="margin" w:alignment="left" w:leader="none"/>
    </w:r>
    <w:r w:rsidR="0005325F">
      <w:rPr>
        <w:noProof/>
      </w:rPr>
      <w:ptab w:relativeTo="margin" w:alignment="left" w:leader="none"/>
    </w:r>
    <w:r w:rsidR="0005325F">
      <w:rPr>
        <w:noProof/>
      </w:rPr>
      <w:drawing>
        <wp:inline distT="0" distB="0" distL="0" distR="0" wp14:anchorId="2F066724" wp14:editId="23AFA4F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sidR="0005325F">
      <w:rPr>
        <w:noProof/>
      </w:rPr>
      <w:ptab w:relativeTo="margin" w:alignment="right" w:leader="none"/>
    </w:r>
    <w:r w:rsidR="0005325F">
      <w:rPr>
        <w:noProof/>
      </w:rPr>
      <w:drawing>
        <wp:inline distT="0" distB="0" distL="0" distR="0" wp14:anchorId="7C5F77CE" wp14:editId="75840E59">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34"/>
    <w:rsid w:val="00004F53"/>
    <w:rsid w:val="00051C5D"/>
    <w:rsid w:val="0005325F"/>
    <w:rsid w:val="0007716C"/>
    <w:rsid w:val="000C4DDD"/>
    <w:rsid w:val="001671D4"/>
    <w:rsid w:val="001F5576"/>
    <w:rsid w:val="00221FE7"/>
    <w:rsid w:val="002B3455"/>
    <w:rsid w:val="002D371B"/>
    <w:rsid w:val="002E680B"/>
    <w:rsid w:val="002F4875"/>
    <w:rsid w:val="003035F7"/>
    <w:rsid w:val="00356F7C"/>
    <w:rsid w:val="003F3583"/>
    <w:rsid w:val="00453D93"/>
    <w:rsid w:val="005E661D"/>
    <w:rsid w:val="00656174"/>
    <w:rsid w:val="007662AA"/>
    <w:rsid w:val="008E2AA2"/>
    <w:rsid w:val="009A1E82"/>
    <w:rsid w:val="009B3B1C"/>
    <w:rsid w:val="009F1302"/>
    <w:rsid w:val="009F2334"/>
    <w:rsid w:val="00AA7F2B"/>
    <w:rsid w:val="00B127DA"/>
    <w:rsid w:val="00D10BF1"/>
    <w:rsid w:val="00D3718B"/>
    <w:rsid w:val="00D66F86"/>
    <w:rsid w:val="00DE6CDA"/>
    <w:rsid w:val="00F42545"/>
    <w:rsid w:val="00FB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C0708"/>
  <w15:chartTrackingRefBased/>
  <w15:docId w15:val="{271C92D2-0A76-4B9A-819F-05578266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D93"/>
    <w:rPr>
      <w:rFonts w:ascii="Poppins" w:hAnsi="Poppins"/>
      <w:sz w:val="20"/>
    </w:rPr>
  </w:style>
  <w:style w:type="paragraph" w:styleId="Heading1">
    <w:name w:val="heading 1"/>
    <w:basedOn w:val="Normal"/>
    <w:next w:val="Normal"/>
    <w:link w:val="Heading1Char"/>
    <w:uiPriority w:val="9"/>
    <w:qFormat/>
    <w:rsid w:val="009A1E82"/>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E82"/>
    <w:pPr>
      <w:keepNext/>
      <w:keepLines/>
      <w:spacing w:after="12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34"/>
  </w:style>
  <w:style w:type="paragraph" w:styleId="Footer">
    <w:name w:val="footer"/>
    <w:basedOn w:val="Normal"/>
    <w:link w:val="FooterChar"/>
    <w:uiPriority w:val="99"/>
    <w:unhideWhenUsed/>
    <w:rsid w:val="009F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34"/>
  </w:style>
  <w:style w:type="table" w:styleId="TableGrid">
    <w:name w:val="Table Grid"/>
    <w:basedOn w:val="TableNormal"/>
    <w:uiPriority w:val="39"/>
    <w:rsid w:val="009F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334"/>
    <w:rPr>
      <w:color w:val="0563C1" w:themeColor="hyperlink"/>
      <w:u w:val="single"/>
    </w:rPr>
  </w:style>
  <w:style w:type="paragraph" w:styleId="ListParagraph">
    <w:name w:val="List Paragraph"/>
    <w:basedOn w:val="Normal"/>
    <w:uiPriority w:val="34"/>
    <w:qFormat/>
    <w:rsid w:val="009F1302"/>
    <w:pPr>
      <w:ind w:left="720"/>
      <w:contextualSpacing/>
    </w:pPr>
  </w:style>
  <w:style w:type="character" w:customStyle="1" w:styleId="Heading1Char">
    <w:name w:val="Heading 1 Char"/>
    <w:basedOn w:val="DefaultParagraphFont"/>
    <w:link w:val="Heading1"/>
    <w:uiPriority w:val="9"/>
    <w:rsid w:val="009A1E82"/>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9A1E82"/>
    <w:rPr>
      <w:rFonts w:ascii="Poppins" w:eastAsiaTheme="majorEastAsia" w:hAnsi="Poppins" w:cstheme="majorBidi"/>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EF63-EABF-4BED-9D84-387ED39D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Assessment Type Catalogue</vt:lpstr>
    </vt:vector>
  </TitlesOfParts>
  <Company>The University of Liverpool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Type Catalogue</dc:title>
  <dc:subject/>
  <dc:creator>Saunders, Samuel</dc:creator>
  <cp:keywords/>
  <dc:description/>
  <cp:lastModifiedBy>Wong, Dennis [dennisw]</cp:lastModifiedBy>
  <cp:revision>25</cp:revision>
  <dcterms:created xsi:type="dcterms:W3CDTF">2022-12-20T14:49:00Z</dcterms:created>
  <dcterms:modified xsi:type="dcterms:W3CDTF">2023-12-08T15:44:00Z</dcterms:modified>
</cp:coreProperties>
</file>