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Transitioning to a 'Top-Down' Learning Model via GAI</w:t>
      </w:r>
    </w:p>
    <w:p>
      <w:pPr>
        <w:pStyle w:val="Heading2"/>
      </w:pPr>
      <w:r>
        <w:t>Based in Faculty</w:t>
      </w:r>
    </w:p>
    <w:p>
      <w:r>
        <w:t>Humanities &amp; Social Sciences</w:t>
      </w:r>
    </w:p>
    <w:p>
      <w:pPr>
        <w:pStyle w:val="Heading2"/>
      </w:pPr>
      <w:r>
        <w:t>Based in School / Academy</w:t>
      </w:r>
    </w:p>
    <w:p>
      <w:r>
        <w:t>Management School</w:t>
      </w:r>
    </w:p>
    <w:p>
      <w:pPr>
        <w:pStyle w:val="Heading2"/>
      </w:pPr>
      <w:r>
        <w:t>Project Length</w:t>
      </w:r>
    </w:p>
    <w:p>
      <w:r>
        <w:t>6 - 8 weeks</w:t>
      </w:r>
    </w:p>
    <w:p>
      <w:pPr>
        <w:pStyle w:val="Heading2"/>
      </w:pPr>
      <w:r>
        <w:t>Project Abstract</w:t>
      </w:r>
    </w:p>
    <w:p>
      <w:r>
        <w:t>Traditional linear pedagogy in Accounting and Finance moving from basic theory to practical application over several yearsâ€”is increasingly suboptimal in the era of rapid AI advancement. This project proposes an experimental â€˜Top-Down-learning framework to accelerate student development.</w:t>
        <w:br/>
        <w:br/>
        <w:t>Instead of following the conventional sequence, participating students will immediately engage with advanced, graduate-level finance projects. In this model, Generative AI (GAI) serves as a personalised, adaptive tutor, providing real-time guidance when students encounter complex obstacles. By inverting the learning curve, students investigate fundamental â€œwhyâ€ questions through immediate problem-solving rather than passive acquisition of theory.</w:t>
        <w:br/>
        <w:br/>
        <w:t>The primary objective of this study is to evaluate the efficacy of AI-augmented education and to identify actionable insights for curriculum innovation. Ultimately, we aim to define how GAI can be strategically integrated into university programmes to enhance learning efficiency and better prepare students for an AI-driven professional landscape.</w:t>
      </w:r>
    </w:p>
    <w:p>
      <w:pPr>
        <w:pStyle w:val="Heading2"/>
      </w:pPr>
      <w:r>
        <w:t>Research Questions</w:t>
      </w:r>
    </w:p>
    <w:p>
      <w:r>
        <w:t>1. Does jumping to the "end" enhance motivation and context?</w:t>
        <w:br/>
        <w:br/>
        <w:t>2. How does GAI support the "Why" behind the "How"?</w:t>
        <w:br/>
        <w:br/>
        <w:t>3. What are the roles of the human tutors/supervisors in this framework?</w:t>
      </w:r>
    </w:p>
    <w:p>
      <w:pPr>
        <w:pStyle w:val="Heading2"/>
      </w:pPr>
      <w:r>
        <w:t>Student Development</w:t>
      </w:r>
    </w:p>
    <w:p>
      <w:r>
        <w:t>First, students will transition from using GAI for simple tasks to using it as a sophisticated research partner.</w:t>
        <w:br/>
        <w:br/>
        <w:t>Second, by starting at the "end" (the project phase), students gain immediate exposure to high-level professional tasks.</w:t>
        <w:br/>
        <w:br/>
        <w:t>Third, the "Why Not?" phase of the project fosters deeper inquiry.</w:t>
        <w:br/>
        <w:br/>
        <w:t>Consequently, students will gain the confidence to solve tasks effectively through collaboration with GAI by recognising GAI as a sophisticated research partner rather than merely a knowledge-transfer tool, even when they are exposed to high-level professional tasks for which they lack sufficient foundational knowledge. As a result, students will gain sufficient understanding of the advanced project.</w:t>
      </w:r>
    </w:p>
    <w:p>
      <w:pPr>
        <w:pStyle w:val="Heading2"/>
      </w:pPr>
      <w:r>
        <w:t>Essential Criteria</w:t>
      </w:r>
    </w:p>
    <w:p>
      <w:r>
        <w:t>• Essential Skills: Proactive problem-solving &amp; resilience. Foundational financial literacy. Digital agility. Critical reflection and documentation.</w:t>
      </w:r>
    </w:p>
    <w:p>
      <w:pPr>
        <w:pStyle w:val="Heading2"/>
      </w:pPr>
      <w:r>
        <w:t>Course Requirements</w:t>
      </w:r>
    </w:p>
    <w:p>
      <w:r>
        <w:t>Accounting &amp; Finance or Economics students.</w:t>
      </w:r>
    </w:p>
    <w:p>
      <w:pPr>
        <w:pStyle w:val="Heading2"/>
      </w:pPr>
      <w:r>
        <w:t>Supervisor Support</w:t>
      </w:r>
    </w:p>
    <w:p>
      <w:r>
        <w:t>As a student, you will be supported as follows: There will be an initial onboarding in Week 1 (in-person). There will be weekly 1-on-1 progress meetings (online/on-campus depending on supervisor/student availability). There will be asynchronous support via E-mail/Teams.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436533</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E9CF88C-0EC5-4B1D-874E-5C552E4A6CAC}"/>
</file>

<file path=customXml/itemProps3.xml><?xml version="1.0" encoding="utf-8"?>
<ds:datastoreItem xmlns:ds="http://schemas.openxmlformats.org/officeDocument/2006/customXml" ds:itemID="{89FE8B1D-3290-4887-BD70-5530E3606F6A}"/>
</file>

<file path=customXml/itemProps4.xml><?xml version="1.0" encoding="utf-8"?>
<ds:datastoreItem xmlns:ds="http://schemas.openxmlformats.org/officeDocument/2006/customXml" ds:itemID="{8921FACB-C27B-4276-8DE0-0311799D2C1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