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Digital Twins in Vascular Health</w:t>
      </w:r>
    </w:p>
    <w:p>
      <w:pPr>
        <w:pStyle w:val="Heading2"/>
      </w:pPr>
      <w:r>
        <w:t>Based in Faculty</w:t>
      </w:r>
    </w:p>
    <w:p>
      <w:r>
        <w:t>Health and Life Science</w:t>
      </w:r>
    </w:p>
    <w:p>
      <w:pPr>
        <w:pStyle w:val="Heading2"/>
      </w:pPr>
      <w:r>
        <w:t>Based in School / Academy</w:t>
      </w:r>
    </w:p>
    <w:p>
      <w:r>
        <w:t>Department of Cardiovascular and Metabolic Medicine</w:t>
      </w:r>
    </w:p>
    <w:p>
      <w:pPr>
        <w:pStyle w:val="Heading2"/>
      </w:pPr>
      <w:r>
        <w:t>Project Length</w:t>
      </w:r>
    </w:p>
    <w:p>
      <w:r>
        <w:t>8 - 10 weeks</w:t>
      </w:r>
    </w:p>
    <w:p>
      <w:pPr>
        <w:pStyle w:val="Heading2"/>
      </w:pPr>
      <w:r>
        <w:t>Project Abstract</w:t>
      </w:r>
    </w:p>
    <w:p>
      <w:r>
        <w:t>Digital twin technologies can replicate processes, disease populations, and interventions. Having been used in the manufacturing industry for decades, digital twins are rapidly developing in the field of healthcare. Example use cases include simulating patient-specific stent and thrombectomy procedures, developing metabolic digital twins, improving patient flow through hospitals by digital twinning of the hospital processes, and developing digital twins of exercise interventions. In this project, you will have an opportunity to work on developing digital twins for given use-cases, or work on applying generative AI models to clinical problems. The project will suit individuals keen to work on the cutting edge of healthcare technology, willing to learn programming, and enthusiastic to apply their ideas, with the appropriate support, to solving clinical problems.</w:t>
      </w:r>
    </w:p>
    <w:p>
      <w:pPr>
        <w:pStyle w:val="Heading2"/>
      </w:pPr>
      <w:r>
        <w:t>Research Questions</w:t>
      </w:r>
    </w:p>
    <w:p>
      <w:r>
        <w:t>Can we map out patient pathways and identify internvention areas for digital twins?</w:t>
        <w:br/>
        <w:t>Can we develop proof-of-concept digital twins for atrial fibrillation, stroke, retinal vein occlusion, and dementia?</w:t>
      </w:r>
    </w:p>
    <w:p>
      <w:pPr>
        <w:pStyle w:val="Heading2"/>
      </w:pPr>
      <w:r>
        <w:t>Student Development</w:t>
      </w:r>
    </w:p>
    <w:p>
      <w:r>
        <w:t>Studeents will gain experience in conducting research in cutting edge health technology. They will develop coding skills and some AI and mathematical skills.</w:t>
      </w:r>
    </w:p>
    <w:p>
      <w:pPr>
        <w:pStyle w:val="Heading2"/>
      </w:pPr>
      <w:r>
        <w:t>Essential Criteria</w:t>
      </w:r>
    </w:p>
    <w:p>
      <w:r>
        <w:t>• Essential Criteria: problem-solving, enthusiasm, basic mathematics, creativity</w:t>
      </w:r>
    </w:p>
    <w:p>
      <w:pPr>
        <w:pStyle w:val="Heading2"/>
      </w:pPr>
      <w:r>
        <w:t>Course Requirements</w:t>
      </w:r>
    </w:p>
    <w:p>
      <w:r>
        <w:t>Engineering, computer science, mathematics, physics, bioscience, or medicine</w:t>
      </w:r>
    </w:p>
    <w:p>
      <w:pPr>
        <w:pStyle w:val="Heading2"/>
      </w:pPr>
      <w:r>
        <w:t>Supervisor Support</w:t>
      </w:r>
    </w:p>
    <w:p>
      <w:r>
        <w:t>As a student, you will be supported as follows: Weekly group meetings with weekly one-to-one meetings. Support will also be provided through our team of 3 PhDs students, 2 post-docs, and 1 masters student</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436300</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DB4CA37-0DB0-447D-BB20-A82E781CF534}"/>
</file>

<file path=customXml/itemProps3.xml><?xml version="1.0" encoding="utf-8"?>
<ds:datastoreItem xmlns:ds="http://schemas.openxmlformats.org/officeDocument/2006/customXml" ds:itemID="{82FA8D64-60DA-4E11-9A4A-359499C4FF4E}"/>
</file>

<file path=customXml/itemProps4.xml><?xml version="1.0" encoding="utf-8"?>
<ds:datastoreItem xmlns:ds="http://schemas.openxmlformats.org/officeDocument/2006/customXml" ds:itemID="{BE6A8E11-764F-4833-8C68-CDCDE94C5C2A}"/>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