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Scaling Down Human Tumoral Growth</w:t>
      </w:r>
    </w:p>
    <w:p>
      <w:pPr>
        <w:pStyle w:val="Heading2"/>
      </w:pPr>
      <w:r>
        <w:t>Based in Faculty</w:t>
      </w:r>
    </w:p>
    <w:p>
      <w:r>
        <w:t>Health and Life Science</w:t>
      </w:r>
    </w:p>
    <w:p>
      <w:pPr>
        <w:pStyle w:val="Heading2"/>
      </w:pPr>
      <w:r>
        <w:t>Based in School / Academy</w:t>
      </w:r>
    </w:p>
    <w:p>
      <w:r>
        <w:t>School of Biosciences</w:t>
      </w:r>
    </w:p>
    <w:p>
      <w:pPr>
        <w:pStyle w:val="Heading2"/>
      </w:pPr>
      <w:r>
        <w:t>Project Length</w:t>
      </w:r>
    </w:p>
    <w:p>
      <w:r>
        <w:t>8 weeks</w:t>
      </w:r>
    </w:p>
    <w:p>
      <w:pPr>
        <w:pStyle w:val="Heading2"/>
      </w:pPr>
      <w:r>
        <w:t>Project Abstract</w:t>
      </w:r>
    </w:p>
    <w:p>
      <w:r>
        <w:t>Growing tissues normally stay in proportion as an organism gets bigger, but cancers break this rule and grow in an uncoordinated way. The project focuses on a newly discovered way that tissues might keep their proportions, which depends on controlled cell death (death-mediated scaling) and appears to be misused by cancer cells. By analysing human tumour samples with advanced biochemical and imaging methods, and working closely with clinicians, the team aims to uncover how this death-mediated scaling works in cancers, with the long-term goal of finding new ways to slow or block tumour growth.</w:t>
      </w:r>
    </w:p>
    <w:p>
      <w:pPr>
        <w:pStyle w:val="Heading2"/>
      </w:pPr>
      <w:r>
        <w:t>Research Questions</w:t>
      </w:r>
    </w:p>
    <w:p>
      <w:r>
        <w:t>It is striking how developing systems keep proportional while growing. This scaling machinery driving proportional growth it is robust still, this machinery can be hijacked. This is the case of tumoral growth, tumoral size does not scale with the growing individual. Furthermore, tumours do not keep proportional with the final length of the adult individual. Understanding how tumours hijack the scaling machinery still remains a challenging question in the cancer biology field.</w:t>
        <w:br/>
        <w:br/>
        <w:t>We have recently found a novel scaling mechanism; Death-mediated scaling. Our unpublished work, shows that Death-mediated scaling machinery can be exploited by cancer cells.</w:t>
        <w:br/>
        <w:br/>
        <w:t>Here, then we proposed to study this machinery during human tumoral growth. This project will engage analyses of human tumoral samples of the key factors of the Death-mediated scaling machinery. We will explore this machinery by using the latest state-of-the-art techniques in biochemistry, confocal and life-imaging. Therefore, will work in close collaboration with Clinicians from the UoL by taking advantage of our expertise in growth biology and quantitative imaging analyses. By exploring the Death-mediated scaling factors in human cancers, we will improve our understanding of the principles driving tumoral growth from a novel and unexplored mechanism and pave the way to design new strategies to impair tumoral growth.</w:t>
      </w:r>
    </w:p>
    <w:p>
      <w:pPr>
        <w:pStyle w:val="Heading2"/>
      </w:pPr>
      <w:r>
        <w:t>Student Development</w:t>
      </w:r>
    </w:p>
    <w:p>
      <w:r>
        <w:t xml:space="preserve">Students will gain techincal skills in: Molecular Biology, Advanced Genetics, Immunofluorescence, </w:t>
        <w:tab/>
        <w:t>Confocal Imaging.</w:t>
      </w:r>
    </w:p>
    <w:p>
      <w:pPr>
        <w:pStyle w:val="Heading2"/>
      </w:pPr>
      <w:r>
        <w:t>Essential Criteria</w:t>
      </w:r>
    </w:p>
    <w:p>
      <w:r>
        <w:t>• Essenitla Skills and Knowledge: Curiosity, wet skill lab knowledge.</w:t>
      </w:r>
    </w:p>
    <w:p>
      <w:pPr>
        <w:pStyle w:val="Heading2"/>
      </w:pPr>
      <w:r>
        <w:t>Course Requirements</w:t>
      </w:r>
    </w:p>
    <w:p>
      <w:r>
        <w:t>Biology, Biochemistry, Biotechnology of Medicine.</w:t>
      </w:r>
    </w:p>
    <w:p>
      <w:pPr>
        <w:pStyle w:val="Heading2"/>
      </w:pPr>
      <w:r>
        <w:t>Supervisor Support</w:t>
      </w:r>
    </w:p>
    <w:p>
      <w:r>
        <w:t>As a student, you will be supported as follows: The student will join a multidisciplinary and dynamic team of young researchers.  The student will work under close supervision of the PI. We will train the student on the required experimental techniques and intellectual skills. He/she will meet the PI at least once per week to brainstorm and discuss new research avenues. Every member of the lab presents in the weekly lab-meeting, and paper discussion activities (e.g. journal clubs) are organised. The supervisor maintains an open-door policy and aims to lead by example.   Key techniques we use in our working environment include:  -Raise awareness of the limitations in diversity/equity.  -Use inclusive language to acknowledge diversity and promote equal opportunities.   -Promote respectful discussions among people from different backgrounds.   -Champion and support students and neurodiverse colleagues to reach their full potential.</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436015</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0A0FB7A-DCE2-45CC-8E55-0F5B84FCEC73}"/>
</file>

<file path=customXml/itemProps3.xml><?xml version="1.0" encoding="utf-8"?>
<ds:datastoreItem xmlns:ds="http://schemas.openxmlformats.org/officeDocument/2006/customXml" ds:itemID="{9DC47CB5-3B21-4381-9028-7BB13DBDB19F}"/>
</file>

<file path=customXml/itemProps4.xml><?xml version="1.0" encoding="utf-8"?>
<ds:datastoreItem xmlns:ds="http://schemas.openxmlformats.org/officeDocument/2006/customXml" ds:itemID="{515985E9-32FE-4653-9EF8-3254DCA1C8F0}"/>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