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Wireless power transfer and energy harvesting</w:t>
      </w:r>
    </w:p>
    <w:p>
      <w:pPr>
        <w:pStyle w:val="Heading2"/>
      </w:pPr>
      <w:r>
        <w:t>Based in Faculty</w:t>
      </w:r>
    </w:p>
    <w:p>
      <w:r>
        <w:t>Science and Engineering</w:t>
      </w:r>
    </w:p>
    <w:p>
      <w:pPr>
        <w:pStyle w:val="Heading2"/>
      </w:pPr>
      <w:r>
        <w:t>Based in School / Academy</w:t>
      </w:r>
    </w:p>
    <w:p>
      <w:r>
        <w:t>Department of Electrical Engineering and Electronics</w:t>
      </w:r>
    </w:p>
    <w:p>
      <w:pPr>
        <w:pStyle w:val="Heading2"/>
      </w:pPr>
      <w:r>
        <w:t>Project Length</w:t>
      </w:r>
    </w:p>
    <w:p>
      <w:r>
        <w:t>8</w:t>
      </w:r>
    </w:p>
    <w:p>
      <w:pPr>
        <w:pStyle w:val="Heading2"/>
      </w:pPr>
      <w:r>
        <w:t>Project Abstract</w:t>
      </w:r>
    </w:p>
    <w:p>
      <w:r>
        <w:t>Wireless power transfer uses electromagnetic waves to deliver energy without physical cables and is increasingly important for applications such as remote sensors, drones, and space systems. This 8-week summer project will explore microwave-based wireless power transfer and energy harvesting through the design and demonstration of a complete end-to-end system. Two students will work as a team: one focusing on the microwave transmitter, and the other on the energy-harvesting receiver.</w:t>
        <w:br/>
        <w:br/>
        <w:t>The transmitter project will involve generating and directing microwave signals efficiently, while the receiver project will focus on capturing this energy and converting it into usable electrical power. Together, the students will integrate their designs to demonstrate wireless power delivery over a short distance.</w:t>
        <w:br/>
        <w:br/>
        <w:t>The project provides hands-on experience in microwave engineering, antennas, and practical system integration. It also addresses real-world challenges in powering devices where cables or batteries are impractical, with relevance to future technologies such as wireless sensors, Internet-of-Things devices, and space-based power systems.</w:t>
      </w:r>
    </w:p>
    <w:p>
      <w:pPr>
        <w:pStyle w:val="Heading2"/>
      </w:pPr>
      <w:r>
        <w:t>Research Questions</w:t>
      </w:r>
    </w:p>
    <w:p>
      <w:r>
        <w:t>This project seeks to answer the following research questions: How can microwave signals be efficiently generated, transmitted, and directed to deliver usable power wirelessly over short distances? What transmitter architectures and antenna designs maximise power delivery while remaining compact and practical? On the receiver side, how effectively can microwave energy be harvested and converted into DC power using rectenna-based designs? How do system parameters such as frequency, distance, alignment, and load conditions affect overall wireless power transfer efficiency? By addressing these questions, the project aims to identify key design trade-offs and demonstrate a functional microwave-based wireless power transfer system.</w:t>
      </w:r>
    </w:p>
    <w:p>
      <w:pPr>
        <w:pStyle w:val="Heading2"/>
      </w:pPr>
      <w:r>
        <w:t>Student Development</w:t>
      </w:r>
    </w:p>
    <w:p>
      <w:r>
        <w:t>Students will gain hands-on experience in microwave engineering and wireless power transfer through the design and implementation of a complete transmitter receiver system. Technical skills developed include RF and antenna design, circuit simulation, basic fabrication and measurement, and energy-harvesting and rectifier design. Students will also gain experience in system integration, experimental testing, and performance evaluation. From a research perspective, students will learn how to formulate design requirements, explore trade-offs, interpret measurement results, and document their work clearly. The project will strengthen problem-solving skills and teamwork, as the two students will coordinate closely to achieve an end-to-end demonstrator, providing valuable preparation for postgraduate study or careers in RF, wireless, and energy-related fields.</w:t>
      </w:r>
    </w:p>
    <w:p>
      <w:pPr>
        <w:pStyle w:val="Heading2"/>
      </w:pPr>
      <w:r>
        <w:t>Essential Criteria</w:t>
      </w:r>
    </w:p>
    <w:p>
      <w:r>
        <w:t>• Essential Knowledge: basic electronic engineering background. Desirable Experience: to have microwave and RF background</w:t>
      </w:r>
    </w:p>
    <w:p>
      <w:pPr>
        <w:pStyle w:val="Heading2"/>
      </w:pPr>
      <w:r>
        <w:t>Course Requirements</w:t>
      </w:r>
    </w:p>
    <w:p>
      <w:r>
        <w:t>Any degree discipline however would suit those who have knowledge in  microwave and RF</w:t>
      </w:r>
    </w:p>
    <w:p>
      <w:pPr>
        <w:pStyle w:val="Heading2"/>
      </w:pPr>
      <w:r>
        <w:t>Supervisor Support</w:t>
      </w:r>
    </w:p>
    <w:p>
      <w:r>
        <w:t>As a student, you will be supported as follows: Weekly meetings either online or in person.</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435805</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5E8D658-B1E0-4ECB-B284-5B09C6FABAF7}"/>
</file>

<file path=customXml/itemProps3.xml><?xml version="1.0" encoding="utf-8"?>
<ds:datastoreItem xmlns:ds="http://schemas.openxmlformats.org/officeDocument/2006/customXml" ds:itemID="{F2703AE3-8E57-4AF2-B788-E78199355010}"/>
</file>

<file path=customXml/itemProps4.xml><?xml version="1.0" encoding="utf-8"?>
<ds:datastoreItem xmlns:ds="http://schemas.openxmlformats.org/officeDocument/2006/customXml" ds:itemID="{6DE52B0A-712A-4B79-AEB9-9AAB26F99C27}"/>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