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C048" w14:textId="212DA227" w:rsidR="00261424" w:rsidRDefault="00261424" w:rsidP="00D749F1">
      <w:pPr>
        <w:pStyle w:val="Title"/>
        <w:jc w:val="center"/>
      </w:pPr>
      <w:r>
        <w:rPr>
          <w:noProof/>
          <w:lang w:eastAsia="en-GB"/>
        </w:rPr>
        <w:drawing>
          <wp:inline distT="0" distB="0" distL="0" distR="0" wp14:anchorId="52611DDF" wp14:editId="15ACABF3">
            <wp:extent cx="1877572" cy="865634"/>
            <wp:effectExtent l="0" t="0" r="0" b="0"/>
            <wp:docPr id="1" name="Picture 1" descr="Uni Logo" title="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06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72" cy="865634"/>
                    </a:xfrm>
                    <a:prstGeom prst="rect">
                      <a:avLst/>
                    </a:prstGeom>
                  </pic:spPr>
                </pic:pic>
              </a:graphicData>
            </a:graphic>
          </wp:inline>
        </w:drawing>
      </w:r>
    </w:p>
    <w:p w14:paraId="15894A6D" w14:textId="77777777" w:rsidR="00467BC2" w:rsidRDefault="00C43B31" w:rsidP="00D749F1">
      <w:pPr>
        <w:pStyle w:val="Title"/>
        <w:jc w:val="center"/>
      </w:pPr>
      <w:r>
        <w:t xml:space="preserve">Diversity &amp; Equality </w:t>
      </w:r>
      <w:bookmarkStart w:id="0" w:name="_GoBack"/>
      <w:bookmarkEnd w:id="0"/>
    </w:p>
    <w:p w14:paraId="4D18650B" w14:textId="4EF8EF92" w:rsidR="00542E67" w:rsidRDefault="00C43B31" w:rsidP="00D749F1">
      <w:pPr>
        <w:pStyle w:val="Title"/>
        <w:jc w:val="center"/>
      </w:pPr>
      <w:r>
        <w:t>Annual Report</w:t>
      </w:r>
    </w:p>
    <w:p w14:paraId="3BE93D80" w14:textId="77777777" w:rsidR="00C43B31" w:rsidRDefault="00C43B31" w:rsidP="00D749F1">
      <w:pPr>
        <w:pStyle w:val="Title"/>
        <w:jc w:val="center"/>
      </w:pPr>
      <w:r>
        <w:t>2019-2020</w:t>
      </w:r>
    </w:p>
    <w:p w14:paraId="7DE91D8E" w14:textId="77777777" w:rsidR="00C43B31" w:rsidRDefault="00C43B31"/>
    <w:p w14:paraId="731FCA6B" w14:textId="5C9F6E11" w:rsidR="00CF05F5" w:rsidRDefault="00CF05F5">
      <w:pPr>
        <w:rPr>
          <w:rFonts w:ascii="Calibri" w:eastAsiaTheme="majorEastAsia" w:hAnsi="Calibri" w:cstheme="majorBidi"/>
          <w:b/>
          <w:sz w:val="32"/>
          <w:szCs w:val="32"/>
        </w:rPr>
      </w:pPr>
      <w:r>
        <w:br w:type="page"/>
      </w:r>
      <w:r w:rsidR="00467BC2" w:rsidRPr="00381233">
        <w:rPr>
          <w:sz w:val="40"/>
        </w:rPr>
        <w:lastRenderedPageBreak/>
        <w:t xml:space="preserve">If you require this document in an alternative format, such as large print or a coloured background, please contact </w:t>
      </w:r>
      <w:hyperlink r:id="rId12" w:history="1">
        <w:r w:rsidR="00467BC2" w:rsidRPr="00381233">
          <w:rPr>
            <w:rStyle w:val="Hyperlink"/>
            <w:sz w:val="40"/>
          </w:rPr>
          <w:t>equality@liv.ac.uk</w:t>
        </w:r>
      </w:hyperlink>
    </w:p>
    <w:sdt>
      <w:sdtPr>
        <w:rPr>
          <w:rFonts w:asciiTheme="minorHAnsi" w:eastAsiaTheme="minorHAnsi" w:hAnsiTheme="minorHAnsi" w:cstheme="minorBidi"/>
          <w:color w:val="auto"/>
          <w:sz w:val="24"/>
          <w:szCs w:val="22"/>
          <w:lang w:val="en-GB"/>
        </w:rPr>
        <w:id w:val="-8915721"/>
        <w:docPartObj>
          <w:docPartGallery w:val="Table of Contents"/>
          <w:docPartUnique/>
        </w:docPartObj>
      </w:sdtPr>
      <w:sdtEndPr>
        <w:rPr>
          <w:b/>
          <w:bCs/>
          <w:noProof/>
        </w:rPr>
      </w:sdtEndPr>
      <w:sdtContent>
        <w:p w14:paraId="524F3496" w14:textId="4DF456BB" w:rsidR="008C64CD" w:rsidRDefault="00EB45D5" w:rsidP="00EB45D5">
          <w:pPr>
            <w:pStyle w:val="TOCHeading"/>
            <w:rPr>
              <w:rFonts w:ascii="Calibri" w:hAnsi="Calibri" w:cs="Calibri"/>
              <w:b/>
              <w:color w:val="auto"/>
            </w:rPr>
          </w:pPr>
          <w:r>
            <w:rPr>
              <w:rFonts w:ascii="Calibri" w:hAnsi="Calibri" w:cs="Calibri"/>
              <w:b/>
              <w:color w:val="auto"/>
            </w:rPr>
            <w:t>Contents</w:t>
          </w:r>
        </w:p>
        <w:p w14:paraId="6E3EE6BB" w14:textId="77777777" w:rsidR="00CA3793" w:rsidRPr="00CA3793" w:rsidRDefault="00CA3793" w:rsidP="00CA3793">
          <w:pPr>
            <w:rPr>
              <w:lang w:val="en-US"/>
            </w:rPr>
          </w:pPr>
        </w:p>
        <w:p w14:paraId="670391D1" w14:textId="77777777" w:rsidR="0013040B" w:rsidRDefault="008C64CD">
          <w:pPr>
            <w:pStyle w:val="TOC1"/>
            <w:tabs>
              <w:tab w:val="left" w:pos="480"/>
              <w:tab w:val="right" w:leader="dot" w:pos="9016"/>
            </w:tabs>
            <w:rPr>
              <w:rFonts w:eastAsiaTheme="minorEastAsia"/>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63432723" w:history="1">
            <w:r w:rsidR="0013040B" w:rsidRPr="007B0E71">
              <w:rPr>
                <w:rStyle w:val="Hyperlink"/>
                <w:noProof/>
              </w:rPr>
              <w:t>1.</w:t>
            </w:r>
            <w:r w:rsidR="0013040B">
              <w:rPr>
                <w:rFonts w:eastAsiaTheme="minorEastAsia"/>
                <w:noProof/>
                <w:sz w:val="22"/>
                <w:lang w:eastAsia="en-GB"/>
              </w:rPr>
              <w:tab/>
            </w:r>
            <w:r w:rsidR="0013040B" w:rsidRPr="007B0E71">
              <w:rPr>
                <w:rStyle w:val="Hyperlink"/>
                <w:noProof/>
              </w:rPr>
              <w:t>Introduction</w:t>
            </w:r>
            <w:r w:rsidR="0013040B">
              <w:rPr>
                <w:noProof/>
                <w:webHidden/>
              </w:rPr>
              <w:tab/>
            </w:r>
            <w:r w:rsidR="0013040B">
              <w:rPr>
                <w:noProof/>
                <w:webHidden/>
              </w:rPr>
              <w:fldChar w:fldCharType="begin"/>
            </w:r>
            <w:r w:rsidR="0013040B">
              <w:rPr>
                <w:noProof/>
                <w:webHidden/>
              </w:rPr>
              <w:instrText xml:space="preserve"> PAGEREF _Toc63432723 \h </w:instrText>
            </w:r>
            <w:r w:rsidR="0013040B">
              <w:rPr>
                <w:noProof/>
                <w:webHidden/>
              </w:rPr>
            </w:r>
            <w:r w:rsidR="0013040B">
              <w:rPr>
                <w:noProof/>
                <w:webHidden/>
              </w:rPr>
              <w:fldChar w:fldCharType="separate"/>
            </w:r>
            <w:r w:rsidR="00D35AE1">
              <w:rPr>
                <w:noProof/>
                <w:webHidden/>
              </w:rPr>
              <w:t>3</w:t>
            </w:r>
            <w:r w:rsidR="0013040B">
              <w:rPr>
                <w:noProof/>
                <w:webHidden/>
              </w:rPr>
              <w:fldChar w:fldCharType="end"/>
            </w:r>
          </w:hyperlink>
        </w:p>
        <w:p w14:paraId="0EFDEE1F" w14:textId="77777777" w:rsidR="0013040B" w:rsidRDefault="005971E8">
          <w:pPr>
            <w:pStyle w:val="TOC1"/>
            <w:tabs>
              <w:tab w:val="left" w:pos="480"/>
              <w:tab w:val="right" w:leader="dot" w:pos="9016"/>
            </w:tabs>
            <w:rPr>
              <w:rFonts w:eastAsiaTheme="minorEastAsia"/>
              <w:noProof/>
              <w:sz w:val="22"/>
              <w:lang w:eastAsia="en-GB"/>
            </w:rPr>
          </w:pPr>
          <w:hyperlink w:anchor="_Toc63432724" w:history="1">
            <w:r w:rsidR="0013040B" w:rsidRPr="007B0E71">
              <w:rPr>
                <w:rStyle w:val="Hyperlink"/>
                <w:noProof/>
              </w:rPr>
              <w:t>2.</w:t>
            </w:r>
            <w:r w:rsidR="0013040B">
              <w:rPr>
                <w:rFonts w:eastAsiaTheme="minorEastAsia"/>
                <w:noProof/>
                <w:sz w:val="22"/>
                <w:lang w:eastAsia="en-GB"/>
              </w:rPr>
              <w:tab/>
            </w:r>
            <w:r w:rsidR="0013040B" w:rsidRPr="007B0E71">
              <w:rPr>
                <w:rStyle w:val="Hyperlink"/>
                <w:noProof/>
              </w:rPr>
              <w:t>Response to COVID-19</w:t>
            </w:r>
            <w:r w:rsidR="0013040B">
              <w:rPr>
                <w:noProof/>
                <w:webHidden/>
              </w:rPr>
              <w:tab/>
            </w:r>
            <w:r w:rsidR="0013040B">
              <w:rPr>
                <w:noProof/>
                <w:webHidden/>
              </w:rPr>
              <w:fldChar w:fldCharType="begin"/>
            </w:r>
            <w:r w:rsidR="0013040B">
              <w:rPr>
                <w:noProof/>
                <w:webHidden/>
              </w:rPr>
              <w:instrText xml:space="preserve"> PAGEREF _Toc63432724 \h </w:instrText>
            </w:r>
            <w:r w:rsidR="0013040B">
              <w:rPr>
                <w:noProof/>
                <w:webHidden/>
              </w:rPr>
            </w:r>
            <w:r w:rsidR="0013040B">
              <w:rPr>
                <w:noProof/>
                <w:webHidden/>
              </w:rPr>
              <w:fldChar w:fldCharType="separate"/>
            </w:r>
            <w:r w:rsidR="00D35AE1">
              <w:rPr>
                <w:noProof/>
                <w:webHidden/>
              </w:rPr>
              <w:t>4</w:t>
            </w:r>
            <w:r w:rsidR="0013040B">
              <w:rPr>
                <w:noProof/>
                <w:webHidden/>
              </w:rPr>
              <w:fldChar w:fldCharType="end"/>
            </w:r>
          </w:hyperlink>
        </w:p>
        <w:p w14:paraId="56CC559A" w14:textId="77777777" w:rsidR="0013040B" w:rsidRDefault="005971E8">
          <w:pPr>
            <w:pStyle w:val="TOC1"/>
            <w:tabs>
              <w:tab w:val="left" w:pos="480"/>
              <w:tab w:val="right" w:leader="dot" w:pos="9016"/>
            </w:tabs>
            <w:rPr>
              <w:rFonts w:eastAsiaTheme="minorEastAsia"/>
              <w:noProof/>
              <w:sz w:val="22"/>
              <w:lang w:eastAsia="en-GB"/>
            </w:rPr>
          </w:pPr>
          <w:hyperlink w:anchor="_Toc63432726" w:history="1">
            <w:r w:rsidR="0013040B" w:rsidRPr="007B0E71">
              <w:rPr>
                <w:rStyle w:val="Hyperlink"/>
                <w:noProof/>
              </w:rPr>
              <w:t>3.</w:t>
            </w:r>
            <w:r w:rsidR="0013040B">
              <w:rPr>
                <w:rFonts w:eastAsiaTheme="minorEastAsia"/>
                <w:noProof/>
                <w:sz w:val="22"/>
                <w:lang w:eastAsia="en-GB"/>
              </w:rPr>
              <w:tab/>
            </w:r>
            <w:r w:rsidR="0013040B" w:rsidRPr="007B0E71">
              <w:rPr>
                <w:rStyle w:val="Hyperlink"/>
                <w:noProof/>
              </w:rPr>
              <w:t>Bullying &amp; Harassment</w:t>
            </w:r>
            <w:r w:rsidR="0013040B">
              <w:rPr>
                <w:noProof/>
                <w:webHidden/>
              </w:rPr>
              <w:tab/>
            </w:r>
            <w:r w:rsidR="0013040B">
              <w:rPr>
                <w:noProof/>
                <w:webHidden/>
              </w:rPr>
              <w:fldChar w:fldCharType="begin"/>
            </w:r>
            <w:r w:rsidR="0013040B">
              <w:rPr>
                <w:noProof/>
                <w:webHidden/>
              </w:rPr>
              <w:instrText xml:space="preserve"> PAGEREF _Toc63432726 \h </w:instrText>
            </w:r>
            <w:r w:rsidR="0013040B">
              <w:rPr>
                <w:noProof/>
                <w:webHidden/>
              </w:rPr>
            </w:r>
            <w:r w:rsidR="0013040B">
              <w:rPr>
                <w:noProof/>
                <w:webHidden/>
              </w:rPr>
              <w:fldChar w:fldCharType="separate"/>
            </w:r>
            <w:r w:rsidR="00D35AE1">
              <w:rPr>
                <w:noProof/>
                <w:webHidden/>
              </w:rPr>
              <w:t>4</w:t>
            </w:r>
            <w:r w:rsidR="0013040B">
              <w:rPr>
                <w:noProof/>
                <w:webHidden/>
              </w:rPr>
              <w:fldChar w:fldCharType="end"/>
            </w:r>
          </w:hyperlink>
        </w:p>
        <w:p w14:paraId="77FCE137" w14:textId="77777777" w:rsidR="0013040B" w:rsidRDefault="005971E8">
          <w:pPr>
            <w:pStyle w:val="TOC1"/>
            <w:tabs>
              <w:tab w:val="left" w:pos="480"/>
              <w:tab w:val="right" w:leader="dot" w:pos="9016"/>
            </w:tabs>
            <w:rPr>
              <w:rFonts w:eastAsiaTheme="minorEastAsia"/>
              <w:noProof/>
              <w:sz w:val="22"/>
              <w:lang w:eastAsia="en-GB"/>
            </w:rPr>
          </w:pPr>
          <w:hyperlink w:anchor="_Toc63432727" w:history="1">
            <w:r w:rsidR="0013040B" w:rsidRPr="007B0E71">
              <w:rPr>
                <w:rStyle w:val="Hyperlink"/>
                <w:noProof/>
              </w:rPr>
              <w:t>4.</w:t>
            </w:r>
            <w:r w:rsidR="0013040B">
              <w:rPr>
                <w:rFonts w:eastAsiaTheme="minorEastAsia"/>
                <w:noProof/>
                <w:sz w:val="22"/>
                <w:lang w:eastAsia="en-GB"/>
              </w:rPr>
              <w:tab/>
            </w:r>
            <w:r w:rsidR="0013040B" w:rsidRPr="007B0E71">
              <w:rPr>
                <w:rStyle w:val="Hyperlink"/>
                <w:noProof/>
              </w:rPr>
              <w:t>Racism in Higher Education</w:t>
            </w:r>
            <w:r w:rsidR="0013040B">
              <w:rPr>
                <w:noProof/>
                <w:webHidden/>
              </w:rPr>
              <w:tab/>
            </w:r>
            <w:r w:rsidR="0013040B">
              <w:rPr>
                <w:noProof/>
                <w:webHidden/>
              </w:rPr>
              <w:fldChar w:fldCharType="begin"/>
            </w:r>
            <w:r w:rsidR="0013040B">
              <w:rPr>
                <w:noProof/>
                <w:webHidden/>
              </w:rPr>
              <w:instrText xml:space="preserve"> PAGEREF _Toc63432727 \h </w:instrText>
            </w:r>
            <w:r w:rsidR="0013040B">
              <w:rPr>
                <w:noProof/>
                <w:webHidden/>
              </w:rPr>
            </w:r>
            <w:r w:rsidR="0013040B">
              <w:rPr>
                <w:noProof/>
                <w:webHidden/>
              </w:rPr>
              <w:fldChar w:fldCharType="separate"/>
            </w:r>
            <w:r w:rsidR="00D35AE1">
              <w:rPr>
                <w:noProof/>
                <w:webHidden/>
              </w:rPr>
              <w:t>5</w:t>
            </w:r>
            <w:r w:rsidR="0013040B">
              <w:rPr>
                <w:noProof/>
                <w:webHidden/>
              </w:rPr>
              <w:fldChar w:fldCharType="end"/>
            </w:r>
          </w:hyperlink>
        </w:p>
        <w:p w14:paraId="3B58E6E1" w14:textId="77777777" w:rsidR="0013040B" w:rsidRDefault="005971E8">
          <w:pPr>
            <w:pStyle w:val="TOC1"/>
            <w:tabs>
              <w:tab w:val="left" w:pos="480"/>
              <w:tab w:val="right" w:leader="dot" w:pos="9016"/>
            </w:tabs>
            <w:rPr>
              <w:rFonts w:eastAsiaTheme="minorEastAsia"/>
              <w:noProof/>
              <w:sz w:val="22"/>
              <w:lang w:eastAsia="en-GB"/>
            </w:rPr>
          </w:pPr>
          <w:hyperlink w:anchor="_Toc63432728" w:history="1">
            <w:r w:rsidR="0013040B" w:rsidRPr="007B0E71">
              <w:rPr>
                <w:rStyle w:val="Hyperlink"/>
                <w:noProof/>
              </w:rPr>
              <w:t>5.</w:t>
            </w:r>
            <w:r w:rsidR="0013040B">
              <w:rPr>
                <w:rFonts w:eastAsiaTheme="minorEastAsia"/>
                <w:noProof/>
                <w:sz w:val="22"/>
                <w:lang w:eastAsia="en-GB"/>
              </w:rPr>
              <w:tab/>
            </w:r>
            <w:r w:rsidR="0013040B" w:rsidRPr="007B0E71">
              <w:rPr>
                <w:rStyle w:val="Hyperlink"/>
                <w:noProof/>
              </w:rPr>
              <w:t>Achieving Gender Equality</w:t>
            </w:r>
            <w:r w:rsidR="0013040B">
              <w:rPr>
                <w:noProof/>
                <w:webHidden/>
              </w:rPr>
              <w:tab/>
            </w:r>
            <w:r w:rsidR="0013040B">
              <w:rPr>
                <w:noProof/>
                <w:webHidden/>
              </w:rPr>
              <w:fldChar w:fldCharType="begin"/>
            </w:r>
            <w:r w:rsidR="0013040B">
              <w:rPr>
                <w:noProof/>
                <w:webHidden/>
              </w:rPr>
              <w:instrText xml:space="preserve"> PAGEREF _Toc63432728 \h </w:instrText>
            </w:r>
            <w:r w:rsidR="0013040B">
              <w:rPr>
                <w:noProof/>
                <w:webHidden/>
              </w:rPr>
            </w:r>
            <w:r w:rsidR="0013040B">
              <w:rPr>
                <w:noProof/>
                <w:webHidden/>
              </w:rPr>
              <w:fldChar w:fldCharType="separate"/>
            </w:r>
            <w:r w:rsidR="00D35AE1">
              <w:rPr>
                <w:noProof/>
                <w:webHidden/>
              </w:rPr>
              <w:t>5</w:t>
            </w:r>
            <w:r w:rsidR="0013040B">
              <w:rPr>
                <w:noProof/>
                <w:webHidden/>
              </w:rPr>
              <w:fldChar w:fldCharType="end"/>
            </w:r>
          </w:hyperlink>
        </w:p>
        <w:p w14:paraId="5C9E0ECB" w14:textId="77777777" w:rsidR="0013040B" w:rsidRDefault="005971E8">
          <w:pPr>
            <w:pStyle w:val="TOC1"/>
            <w:tabs>
              <w:tab w:val="left" w:pos="480"/>
              <w:tab w:val="right" w:leader="dot" w:pos="9016"/>
            </w:tabs>
            <w:rPr>
              <w:rFonts w:eastAsiaTheme="minorEastAsia"/>
              <w:noProof/>
              <w:sz w:val="22"/>
              <w:lang w:eastAsia="en-GB"/>
            </w:rPr>
          </w:pPr>
          <w:hyperlink w:anchor="_Toc63432729" w:history="1">
            <w:r w:rsidR="0013040B" w:rsidRPr="007B0E71">
              <w:rPr>
                <w:rStyle w:val="Hyperlink"/>
                <w:noProof/>
              </w:rPr>
              <w:t>6.</w:t>
            </w:r>
            <w:r w:rsidR="0013040B">
              <w:rPr>
                <w:rFonts w:eastAsiaTheme="minorEastAsia"/>
                <w:noProof/>
                <w:sz w:val="22"/>
                <w:lang w:eastAsia="en-GB"/>
              </w:rPr>
              <w:tab/>
            </w:r>
            <w:r w:rsidR="0013040B" w:rsidRPr="007B0E71">
              <w:rPr>
                <w:rStyle w:val="Hyperlink"/>
                <w:noProof/>
              </w:rPr>
              <w:t>Disability and the Physical Estate</w:t>
            </w:r>
            <w:r w:rsidR="0013040B">
              <w:rPr>
                <w:noProof/>
                <w:webHidden/>
              </w:rPr>
              <w:tab/>
            </w:r>
            <w:r w:rsidR="0013040B">
              <w:rPr>
                <w:noProof/>
                <w:webHidden/>
              </w:rPr>
              <w:fldChar w:fldCharType="begin"/>
            </w:r>
            <w:r w:rsidR="0013040B">
              <w:rPr>
                <w:noProof/>
                <w:webHidden/>
              </w:rPr>
              <w:instrText xml:space="preserve"> PAGEREF _Toc63432729 \h </w:instrText>
            </w:r>
            <w:r w:rsidR="0013040B">
              <w:rPr>
                <w:noProof/>
                <w:webHidden/>
              </w:rPr>
            </w:r>
            <w:r w:rsidR="0013040B">
              <w:rPr>
                <w:noProof/>
                <w:webHidden/>
              </w:rPr>
              <w:fldChar w:fldCharType="separate"/>
            </w:r>
            <w:r w:rsidR="00D35AE1">
              <w:rPr>
                <w:noProof/>
                <w:webHidden/>
              </w:rPr>
              <w:t>6</w:t>
            </w:r>
            <w:r w:rsidR="0013040B">
              <w:rPr>
                <w:noProof/>
                <w:webHidden/>
              </w:rPr>
              <w:fldChar w:fldCharType="end"/>
            </w:r>
          </w:hyperlink>
        </w:p>
        <w:p w14:paraId="36AA5F68" w14:textId="77777777" w:rsidR="0013040B" w:rsidRDefault="005971E8">
          <w:pPr>
            <w:pStyle w:val="TOC1"/>
            <w:tabs>
              <w:tab w:val="left" w:pos="480"/>
              <w:tab w:val="right" w:leader="dot" w:pos="9016"/>
            </w:tabs>
            <w:rPr>
              <w:rFonts w:eastAsiaTheme="minorEastAsia"/>
              <w:noProof/>
              <w:sz w:val="22"/>
              <w:lang w:eastAsia="en-GB"/>
            </w:rPr>
          </w:pPr>
          <w:hyperlink w:anchor="_Toc63432730" w:history="1">
            <w:r w:rsidR="0013040B" w:rsidRPr="007B0E71">
              <w:rPr>
                <w:rStyle w:val="Hyperlink"/>
                <w:noProof/>
              </w:rPr>
              <w:t>7.</w:t>
            </w:r>
            <w:r w:rsidR="0013040B">
              <w:rPr>
                <w:rFonts w:eastAsiaTheme="minorEastAsia"/>
                <w:noProof/>
                <w:sz w:val="22"/>
                <w:lang w:eastAsia="en-GB"/>
              </w:rPr>
              <w:tab/>
            </w:r>
            <w:r w:rsidR="0013040B" w:rsidRPr="007B0E71">
              <w:rPr>
                <w:rStyle w:val="Hyperlink"/>
                <w:noProof/>
              </w:rPr>
              <w:t>Researcher Development</w:t>
            </w:r>
            <w:r w:rsidR="0013040B">
              <w:rPr>
                <w:noProof/>
                <w:webHidden/>
              </w:rPr>
              <w:tab/>
            </w:r>
            <w:r w:rsidR="0013040B">
              <w:rPr>
                <w:noProof/>
                <w:webHidden/>
              </w:rPr>
              <w:fldChar w:fldCharType="begin"/>
            </w:r>
            <w:r w:rsidR="0013040B">
              <w:rPr>
                <w:noProof/>
                <w:webHidden/>
              </w:rPr>
              <w:instrText xml:space="preserve"> PAGEREF _Toc63432730 \h </w:instrText>
            </w:r>
            <w:r w:rsidR="0013040B">
              <w:rPr>
                <w:noProof/>
                <w:webHidden/>
              </w:rPr>
            </w:r>
            <w:r w:rsidR="0013040B">
              <w:rPr>
                <w:noProof/>
                <w:webHidden/>
              </w:rPr>
              <w:fldChar w:fldCharType="separate"/>
            </w:r>
            <w:r w:rsidR="00D35AE1">
              <w:rPr>
                <w:noProof/>
                <w:webHidden/>
              </w:rPr>
              <w:t>7</w:t>
            </w:r>
            <w:r w:rsidR="0013040B">
              <w:rPr>
                <w:noProof/>
                <w:webHidden/>
              </w:rPr>
              <w:fldChar w:fldCharType="end"/>
            </w:r>
          </w:hyperlink>
        </w:p>
        <w:p w14:paraId="42254C12" w14:textId="77777777" w:rsidR="0013040B" w:rsidRDefault="005971E8">
          <w:pPr>
            <w:pStyle w:val="TOC1"/>
            <w:tabs>
              <w:tab w:val="left" w:pos="480"/>
              <w:tab w:val="right" w:leader="dot" w:pos="9016"/>
            </w:tabs>
            <w:rPr>
              <w:rFonts w:eastAsiaTheme="minorEastAsia"/>
              <w:noProof/>
              <w:sz w:val="22"/>
              <w:lang w:eastAsia="en-GB"/>
            </w:rPr>
          </w:pPr>
          <w:hyperlink w:anchor="_Toc63432732" w:history="1">
            <w:r w:rsidR="0013040B" w:rsidRPr="007B0E71">
              <w:rPr>
                <w:rStyle w:val="Hyperlink"/>
                <w:noProof/>
              </w:rPr>
              <w:t>8.</w:t>
            </w:r>
            <w:r w:rsidR="0013040B">
              <w:rPr>
                <w:rFonts w:eastAsiaTheme="minorEastAsia"/>
                <w:noProof/>
                <w:sz w:val="22"/>
                <w:lang w:eastAsia="en-GB"/>
              </w:rPr>
              <w:tab/>
            </w:r>
            <w:r w:rsidR="0013040B" w:rsidRPr="007B0E71">
              <w:rPr>
                <w:rStyle w:val="Hyperlink"/>
                <w:noProof/>
              </w:rPr>
              <w:t>Staff Profile</w:t>
            </w:r>
            <w:r w:rsidR="0013040B">
              <w:rPr>
                <w:noProof/>
                <w:webHidden/>
              </w:rPr>
              <w:tab/>
            </w:r>
            <w:r w:rsidR="0013040B">
              <w:rPr>
                <w:noProof/>
                <w:webHidden/>
              </w:rPr>
              <w:fldChar w:fldCharType="begin"/>
            </w:r>
            <w:r w:rsidR="0013040B">
              <w:rPr>
                <w:noProof/>
                <w:webHidden/>
              </w:rPr>
              <w:instrText xml:space="preserve"> PAGEREF _Toc63432732 \h </w:instrText>
            </w:r>
            <w:r w:rsidR="0013040B">
              <w:rPr>
                <w:noProof/>
                <w:webHidden/>
              </w:rPr>
            </w:r>
            <w:r w:rsidR="0013040B">
              <w:rPr>
                <w:noProof/>
                <w:webHidden/>
              </w:rPr>
              <w:fldChar w:fldCharType="separate"/>
            </w:r>
            <w:r w:rsidR="00D35AE1">
              <w:rPr>
                <w:noProof/>
                <w:webHidden/>
              </w:rPr>
              <w:t>8</w:t>
            </w:r>
            <w:r w:rsidR="0013040B">
              <w:rPr>
                <w:noProof/>
                <w:webHidden/>
              </w:rPr>
              <w:fldChar w:fldCharType="end"/>
            </w:r>
          </w:hyperlink>
        </w:p>
        <w:p w14:paraId="2D4F4DA9" w14:textId="77777777" w:rsidR="0013040B" w:rsidRDefault="005971E8">
          <w:pPr>
            <w:pStyle w:val="TOC1"/>
            <w:tabs>
              <w:tab w:val="left" w:pos="480"/>
              <w:tab w:val="right" w:leader="dot" w:pos="9016"/>
            </w:tabs>
            <w:rPr>
              <w:rFonts w:eastAsiaTheme="minorEastAsia"/>
              <w:noProof/>
              <w:sz w:val="22"/>
              <w:lang w:eastAsia="en-GB"/>
            </w:rPr>
          </w:pPr>
          <w:hyperlink w:anchor="_Toc63432737" w:history="1">
            <w:r w:rsidR="0013040B" w:rsidRPr="007B0E71">
              <w:rPr>
                <w:rStyle w:val="Hyperlink"/>
                <w:noProof/>
              </w:rPr>
              <w:t>9.</w:t>
            </w:r>
            <w:r w:rsidR="0013040B">
              <w:rPr>
                <w:rFonts w:eastAsiaTheme="minorEastAsia"/>
                <w:noProof/>
                <w:sz w:val="22"/>
                <w:lang w:eastAsia="en-GB"/>
              </w:rPr>
              <w:tab/>
            </w:r>
            <w:r w:rsidR="0013040B" w:rsidRPr="007B0E71">
              <w:rPr>
                <w:rStyle w:val="Hyperlink"/>
                <w:noProof/>
              </w:rPr>
              <w:t>Staff Engagement</w:t>
            </w:r>
            <w:r w:rsidR="0013040B">
              <w:rPr>
                <w:noProof/>
                <w:webHidden/>
              </w:rPr>
              <w:tab/>
            </w:r>
            <w:r w:rsidR="0013040B">
              <w:rPr>
                <w:noProof/>
                <w:webHidden/>
              </w:rPr>
              <w:fldChar w:fldCharType="begin"/>
            </w:r>
            <w:r w:rsidR="0013040B">
              <w:rPr>
                <w:noProof/>
                <w:webHidden/>
              </w:rPr>
              <w:instrText xml:space="preserve"> PAGEREF _Toc63432737 \h </w:instrText>
            </w:r>
            <w:r w:rsidR="0013040B">
              <w:rPr>
                <w:noProof/>
                <w:webHidden/>
              </w:rPr>
            </w:r>
            <w:r w:rsidR="0013040B">
              <w:rPr>
                <w:noProof/>
                <w:webHidden/>
              </w:rPr>
              <w:fldChar w:fldCharType="separate"/>
            </w:r>
            <w:r w:rsidR="00D35AE1">
              <w:rPr>
                <w:noProof/>
                <w:webHidden/>
              </w:rPr>
              <w:t>9</w:t>
            </w:r>
            <w:r w:rsidR="0013040B">
              <w:rPr>
                <w:noProof/>
                <w:webHidden/>
              </w:rPr>
              <w:fldChar w:fldCharType="end"/>
            </w:r>
          </w:hyperlink>
        </w:p>
        <w:p w14:paraId="56631F57" w14:textId="77777777" w:rsidR="0013040B" w:rsidRDefault="005971E8">
          <w:pPr>
            <w:pStyle w:val="TOC1"/>
            <w:tabs>
              <w:tab w:val="left" w:pos="660"/>
              <w:tab w:val="right" w:leader="dot" w:pos="9016"/>
            </w:tabs>
            <w:rPr>
              <w:rFonts w:eastAsiaTheme="minorEastAsia"/>
              <w:noProof/>
              <w:sz w:val="22"/>
              <w:lang w:eastAsia="en-GB"/>
            </w:rPr>
          </w:pPr>
          <w:hyperlink w:anchor="_Toc63432738" w:history="1">
            <w:r w:rsidR="0013040B" w:rsidRPr="007B0E71">
              <w:rPr>
                <w:rStyle w:val="Hyperlink"/>
                <w:noProof/>
              </w:rPr>
              <w:t>10.</w:t>
            </w:r>
            <w:r w:rsidR="0013040B">
              <w:rPr>
                <w:rFonts w:eastAsiaTheme="minorEastAsia"/>
                <w:noProof/>
                <w:sz w:val="22"/>
                <w:lang w:eastAsia="en-GB"/>
              </w:rPr>
              <w:tab/>
            </w:r>
            <w:r w:rsidR="0013040B" w:rsidRPr="007B0E71">
              <w:rPr>
                <w:rStyle w:val="Hyperlink"/>
                <w:noProof/>
              </w:rPr>
              <w:t>Students</w:t>
            </w:r>
            <w:r w:rsidR="0013040B">
              <w:rPr>
                <w:noProof/>
                <w:webHidden/>
              </w:rPr>
              <w:tab/>
            </w:r>
            <w:r w:rsidR="0013040B">
              <w:rPr>
                <w:noProof/>
                <w:webHidden/>
              </w:rPr>
              <w:fldChar w:fldCharType="begin"/>
            </w:r>
            <w:r w:rsidR="0013040B">
              <w:rPr>
                <w:noProof/>
                <w:webHidden/>
              </w:rPr>
              <w:instrText xml:space="preserve"> PAGEREF _Toc63432738 \h </w:instrText>
            </w:r>
            <w:r w:rsidR="0013040B">
              <w:rPr>
                <w:noProof/>
                <w:webHidden/>
              </w:rPr>
            </w:r>
            <w:r w:rsidR="0013040B">
              <w:rPr>
                <w:noProof/>
                <w:webHidden/>
              </w:rPr>
              <w:fldChar w:fldCharType="separate"/>
            </w:r>
            <w:r w:rsidR="00D35AE1">
              <w:rPr>
                <w:noProof/>
                <w:webHidden/>
              </w:rPr>
              <w:t>9</w:t>
            </w:r>
            <w:r w:rsidR="0013040B">
              <w:rPr>
                <w:noProof/>
                <w:webHidden/>
              </w:rPr>
              <w:fldChar w:fldCharType="end"/>
            </w:r>
          </w:hyperlink>
        </w:p>
        <w:p w14:paraId="2003081F" w14:textId="77777777" w:rsidR="0013040B" w:rsidRDefault="005971E8">
          <w:pPr>
            <w:pStyle w:val="TOC1"/>
            <w:tabs>
              <w:tab w:val="left" w:pos="660"/>
              <w:tab w:val="right" w:leader="dot" w:pos="9016"/>
            </w:tabs>
            <w:rPr>
              <w:rFonts w:eastAsiaTheme="minorEastAsia"/>
              <w:noProof/>
              <w:sz w:val="22"/>
              <w:lang w:eastAsia="en-GB"/>
            </w:rPr>
          </w:pPr>
          <w:hyperlink w:anchor="_Toc63432741" w:history="1">
            <w:r w:rsidR="0013040B" w:rsidRPr="007B0E71">
              <w:rPr>
                <w:rStyle w:val="Hyperlink"/>
                <w:noProof/>
              </w:rPr>
              <w:t>11.</w:t>
            </w:r>
            <w:r w:rsidR="0013040B">
              <w:rPr>
                <w:rFonts w:eastAsiaTheme="minorEastAsia"/>
                <w:noProof/>
                <w:sz w:val="22"/>
                <w:lang w:eastAsia="en-GB"/>
              </w:rPr>
              <w:tab/>
            </w:r>
            <w:r w:rsidR="0013040B" w:rsidRPr="007B0E71">
              <w:rPr>
                <w:rStyle w:val="Hyperlink"/>
                <w:noProof/>
              </w:rPr>
              <w:t>Staff Key Performance Indicators</w:t>
            </w:r>
            <w:r w:rsidR="0013040B">
              <w:rPr>
                <w:noProof/>
                <w:webHidden/>
              </w:rPr>
              <w:tab/>
            </w:r>
            <w:r w:rsidR="0013040B">
              <w:rPr>
                <w:noProof/>
                <w:webHidden/>
              </w:rPr>
              <w:fldChar w:fldCharType="begin"/>
            </w:r>
            <w:r w:rsidR="0013040B">
              <w:rPr>
                <w:noProof/>
                <w:webHidden/>
              </w:rPr>
              <w:instrText xml:space="preserve"> PAGEREF _Toc63432741 \h </w:instrText>
            </w:r>
            <w:r w:rsidR="0013040B">
              <w:rPr>
                <w:noProof/>
                <w:webHidden/>
              </w:rPr>
            </w:r>
            <w:r w:rsidR="0013040B">
              <w:rPr>
                <w:noProof/>
                <w:webHidden/>
              </w:rPr>
              <w:fldChar w:fldCharType="separate"/>
            </w:r>
            <w:r w:rsidR="00D35AE1">
              <w:rPr>
                <w:noProof/>
                <w:webHidden/>
              </w:rPr>
              <w:t>11</w:t>
            </w:r>
            <w:r w:rsidR="0013040B">
              <w:rPr>
                <w:noProof/>
                <w:webHidden/>
              </w:rPr>
              <w:fldChar w:fldCharType="end"/>
            </w:r>
          </w:hyperlink>
        </w:p>
        <w:p w14:paraId="2F5B43BC" w14:textId="77777777" w:rsidR="0013040B" w:rsidRDefault="005971E8">
          <w:pPr>
            <w:pStyle w:val="TOC2"/>
            <w:tabs>
              <w:tab w:val="left" w:pos="1100"/>
              <w:tab w:val="right" w:leader="dot" w:pos="9016"/>
            </w:tabs>
            <w:rPr>
              <w:rFonts w:eastAsiaTheme="minorEastAsia"/>
              <w:noProof/>
              <w:sz w:val="22"/>
              <w:lang w:eastAsia="en-GB"/>
            </w:rPr>
          </w:pPr>
          <w:hyperlink w:anchor="_Toc63432742" w:history="1">
            <w:r w:rsidR="0013040B" w:rsidRPr="007B0E71">
              <w:rPr>
                <w:rStyle w:val="Hyperlink"/>
                <w:noProof/>
              </w:rPr>
              <w:t>11.1.</w:t>
            </w:r>
            <w:r w:rsidR="0013040B">
              <w:rPr>
                <w:rFonts w:eastAsiaTheme="minorEastAsia"/>
                <w:noProof/>
                <w:sz w:val="22"/>
                <w:lang w:eastAsia="en-GB"/>
              </w:rPr>
              <w:tab/>
            </w:r>
            <w:r w:rsidR="0013040B" w:rsidRPr="007B0E71">
              <w:rPr>
                <w:rStyle w:val="Hyperlink"/>
                <w:noProof/>
              </w:rPr>
              <w:t>Staff Recruitment</w:t>
            </w:r>
            <w:r w:rsidR="0013040B">
              <w:rPr>
                <w:noProof/>
                <w:webHidden/>
              </w:rPr>
              <w:tab/>
            </w:r>
            <w:r w:rsidR="0013040B">
              <w:rPr>
                <w:noProof/>
                <w:webHidden/>
              </w:rPr>
              <w:fldChar w:fldCharType="begin"/>
            </w:r>
            <w:r w:rsidR="0013040B">
              <w:rPr>
                <w:noProof/>
                <w:webHidden/>
              </w:rPr>
              <w:instrText xml:space="preserve"> PAGEREF _Toc63432742 \h </w:instrText>
            </w:r>
            <w:r w:rsidR="0013040B">
              <w:rPr>
                <w:noProof/>
                <w:webHidden/>
              </w:rPr>
            </w:r>
            <w:r w:rsidR="0013040B">
              <w:rPr>
                <w:noProof/>
                <w:webHidden/>
              </w:rPr>
              <w:fldChar w:fldCharType="separate"/>
            </w:r>
            <w:r w:rsidR="00D35AE1">
              <w:rPr>
                <w:noProof/>
                <w:webHidden/>
              </w:rPr>
              <w:t>11</w:t>
            </w:r>
            <w:r w:rsidR="0013040B">
              <w:rPr>
                <w:noProof/>
                <w:webHidden/>
              </w:rPr>
              <w:fldChar w:fldCharType="end"/>
            </w:r>
          </w:hyperlink>
        </w:p>
        <w:p w14:paraId="69C4F0E1" w14:textId="77777777" w:rsidR="0013040B" w:rsidRDefault="005971E8">
          <w:pPr>
            <w:pStyle w:val="TOC2"/>
            <w:tabs>
              <w:tab w:val="left" w:pos="1100"/>
              <w:tab w:val="right" w:leader="dot" w:pos="9016"/>
            </w:tabs>
            <w:rPr>
              <w:rFonts w:eastAsiaTheme="minorEastAsia"/>
              <w:noProof/>
              <w:sz w:val="22"/>
              <w:lang w:eastAsia="en-GB"/>
            </w:rPr>
          </w:pPr>
          <w:hyperlink w:anchor="_Toc63432748" w:history="1">
            <w:r w:rsidR="0013040B" w:rsidRPr="007B0E71">
              <w:rPr>
                <w:rStyle w:val="Hyperlink"/>
                <w:noProof/>
              </w:rPr>
              <w:t>11.2.</w:t>
            </w:r>
            <w:r w:rsidR="0013040B">
              <w:rPr>
                <w:rFonts w:eastAsiaTheme="minorEastAsia"/>
                <w:noProof/>
                <w:sz w:val="22"/>
                <w:lang w:eastAsia="en-GB"/>
              </w:rPr>
              <w:tab/>
            </w:r>
            <w:r w:rsidR="0013040B" w:rsidRPr="007B0E71">
              <w:rPr>
                <w:rStyle w:val="Hyperlink"/>
                <w:noProof/>
              </w:rPr>
              <w:t>Academic Promotion</w:t>
            </w:r>
            <w:r w:rsidR="0013040B">
              <w:rPr>
                <w:noProof/>
                <w:webHidden/>
              </w:rPr>
              <w:tab/>
            </w:r>
            <w:r w:rsidR="0013040B">
              <w:rPr>
                <w:noProof/>
                <w:webHidden/>
              </w:rPr>
              <w:fldChar w:fldCharType="begin"/>
            </w:r>
            <w:r w:rsidR="0013040B">
              <w:rPr>
                <w:noProof/>
                <w:webHidden/>
              </w:rPr>
              <w:instrText xml:space="preserve"> PAGEREF _Toc63432748 \h </w:instrText>
            </w:r>
            <w:r w:rsidR="0013040B">
              <w:rPr>
                <w:noProof/>
                <w:webHidden/>
              </w:rPr>
            </w:r>
            <w:r w:rsidR="0013040B">
              <w:rPr>
                <w:noProof/>
                <w:webHidden/>
              </w:rPr>
              <w:fldChar w:fldCharType="separate"/>
            </w:r>
            <w:r w:rsidR="00D35AE1">
              <w:rPr>
                <w:noProof/>
                <w:webHidden/>
              </w:rPr>
              <w:t>12</w:t>
            </w:r>
            <w:r w:rsidR="0013040B">
              <w:rPr>
                <w:noProof/>
                <w:webHidden/>
              </w:rPr>
              <w:fldChar w:fldCharType="end"/>
            </w:r>
          </w:hyperlink>
        </w:p>
        <w:p w14:paraId="01541BFB" w14:textId="77777777" w:rsidR="0013040B" w:rsidRDefault="005971E8">
          <w:pPr>
            <w:pStyle w:val="TOC2"/>
            <w:tabs>
              <w:tab w:val="left" w:pos="1100"/>
              <w:tab w:val="right" w:leader="dot" w:pos="9016"/>
            </w:tabs>
            <w:rPr>
              <w:rFonts w:eastAsiaTheme="minorEastAsia"/>
              <w:noProof/>
              <w:sz w:val="22"/>
              <w:lang w:eastAsia="en-GB"/>
            </w:rPr>
          </w:pPr>
          <w:hyperlink w:anchor="_Toc63432751" w:history="1">
            <w:r w:rsidR="0013040B" w:rsidRPr="007B0E71">
              <w:rPr>
                <w:rStyle w:val="Hyperlink"/>
                <w:noProof/>
              </w:rPr>
              <w:t>11.3.</w:t>
            </w:r>
            <w:r w:rsidR="0013040B">
              <w:rPr>
                <w:rFonts w:eastAsiaTheme="minorEastAsia"/>
                <w:noProof/>
                <w:sz w:val="22"/>
                <w:lang w:eastAsia="en-GB"/>
              </w:rPr>
              <w:tab/>
            </w:r>
            <w:r w:rsidR="0013040B" w:rsidRPr="007B0E71">
              <w:rPr>
                <w:rStyle w:val="Hyperlink"/>
                <w:noProof/>
              </w:rPr>
              <w:t>Professor Population</w:t>
            </w:r>
            <w:r w:rsidR="0013040B">
              <w:rPr>
                <w:noProof/>
                <w:webHidden/>
              </w:rPr>
              <w:tab/>
            </w:r>
            <w:r w:rsidR="0013040B">
              <w:rPr>
                <w:noProof/>
                <w:webHidden/>
              </w:rPr>
              <w:fldChar w:fldCharType="begin"/>
            </w:r>
            <w:r w:rsidR="0013040B">
              <w:rPr>
                <w:noProof/>
                <w:webHidden/>
              </w:rPr>
              <w:instrText xml:space="preserve"> PAGEREF _Toc63432751 \h </w:instrText>
            </w:r>
            <w:r w:rsidR="0013040B">
              <w:rPr>
                <w:noProof/>
                <w:webHidden/>
              </w:rPr>
            </w:r>
            <w:r w:rsidR="0013040B">
              <w:rPr>
                <w:noProof/>
                <w:webHidden/>
              </w:rPr>
              <w:fldChar w:fldCharType="separate"/>
            </w:r>
            <w:r w:rsidR="00D35AE1">
              <w:rPr>
                <w:noProof/>
                <w:webHidden/>
              </w:rPr>
              <w:t>12</w:t>
            </w:r>
            <w:r w:rsidR="0013040B">
              <w:rPr>
                <w:noProof/>
                <w:webHidden/>
              </w:rPr>
              <w:fldChar w:fldCharType="end"/>
            </w:r>
          </w:hyperlink>
        </w:p>
        <w:p w14:paraId="12C2279B" w14:textId="77777777" w:rsidR="0013040B" w:rsidRDefault="005971E8">
          <w:pPr>
            <w:pStyle w:val="TOC2"/>
            <w:tabs>
              <w:tab w:val="left" w:pos="1100"/>
              <w:tab w:val="right" w:leader="dot" w:pos="9016"/>
            </w:tabs>
            <w:rPr>
              <w:rFonts w:eastAsiaTheme="minorEastAsia"/>
              <w:noProof/>
              <w:sz w:val="22"/>
              <w:lang w:eastAsia="en-GB"/>
            </w:rPr>
          </w:pPr>
          <w:hyperlink w:anchor="_Toc63432752" w:history="1">
            <w:r w:rsidR="0013040B" w:rsidRPr="007B0E71">
              <w:rPr>
                <w:rStyle w:val="Hyperlink"/>
                <w:noProof/>
              </w:rPr>
              <w:t>11.4.</w:t>
            </w:r>
            <w:r w:rsidR="0013040B">
              <w:rPr>
                <w:rFonts w:eastAsiaTheme="minorEastAsia"/>
                <w:noProof/>
                <w:sz w:val="22"/>
                <w:lang w:eastAsia="en-GB"/>
              </w:rPr>
              <w:tab/>
            </w:r>
            <w:r w:rsidR="0013040B" w:rsidRPr="007B0E71">
              <w:rPr>
                <w:rStyle w:val="Hyperlink"/>
                <w:noProof/>
              </w:rPr>
              <w:t>Athena SWAN</w:t>
            </w:r>
            <w:r w:rsidR="0013040B">
              <w:rPr>
                <w:noProof/>
                <w:webHidden/>
              </w:rPr>
              <w:tab/>
            </w:r>
            <w:r w:rsidR="0013040B">
              <w:rPr>
                <w:noProof/>
                <w:webHidden/>
              </w:rPr>
              <w:fldChar w:fldCharType="begin"/>
            </w:r>
            <w:r w:rsidR="0013040B">
              <w:rPr>
                <w:noProof/>
                <w:webHidden/>
              </w:rPr>
              <w:instrText xml:space="preserve"> PAGEREF _Toc63432752 \h </w:instrText>
            </w:r>
            <w:r w:rsidR="0013040B">
              <w:rPr>
                <w:noProof/>
                <w:webHidden/>
              </w:rPr>
            </w:r>
            <w:r w:rsidR="0013040B">
              <w:rPr>
                <w:noProof/>
                <w:webHidden/>
              </w:rPr>
              <w:fldChar w:fldCharType="separate"/>
            </w:r>
            <w:r w:rsidR="00D35AE1">
              <w:rPr>
                <w:noProof/>
                <w:webHidden/>
              </w:rPr>
              <w:t>12</w:t>
            </w:r>
            <w:r w:rsidR="0013040B">
              <w:rPr>
                <w:noProof/>
                <w:webHidden/>
              </w:rPr>
              <w:fldChar w:fldCharType="end"/>
            </w:r>
          </w:hyperlink>
        </w:p>
        <w:p w14:paraId="3D761A5C" w14:textId="77777777" w:rsidR="0013040B" w:rsidRDefault="005971E8">
          <w:pPr>
            <w:pStyle w:val="TOC2"/>
            <w:tabs>
              <w:tab w:val="left" w:pos="1100"/>
              <w:tab w:val="right" w:leader="dot" w:pos="9016"/>
            </w:tabs>
            <w:rPr>
              <w:rFonts w:eastAsiaTheme="minorEastAsia"/>
              <w:noProof/>
              <w:sz w:val="22"/>
              <w:lang w:eastAsia="en-GB"/>
            </w:rPr>
          </w:pPr>
          <w:hyperlink w:anchor="_Toc63432753" w:history="1">
            <w:r w:rsidR="0013040B" w:rsidRPr="007B0E71">
              <w:rPr>
                <w:rStyle w:val="Hyperlink"/>
                <w:noProof/>
              </w:rPr>
              <w:t>11.5.</w:t>
            </w:r>
            <w:r w:rsidR="0013040B">
              <w:rPr>
                <w:rFonts w:eastAsiaTheme="minorEastAsia"/>
                <w:noProof/>
                <w:sz w:val="22"/>
                <w:lang w:eastAsia="en-GB"/>
              </w:rPr>
              <w:tab/>
            </w:r>
            <w:r w:rsidR="0013040B" w:rsidRPr="007B0E71">
              <w:rPr>
                <w:rStyle w:val="Hyperlink"/>
                <w:noProof/>
              </w:rPr>
              <w:t>Pay Gap Median Calculation</w:t>
            </w:r>
            <w:r w:rsidR="0013040B">
              <w:rPr>
                <w:noProof/>
                <w:webHidden/>
              </w:rPr>
              <w:tab/>
            </w:r>
            <w:r w:rsidR="0013040B">
              <w:rPr>
                <w:noProof/>
                <w:webHidden/>
              </w:rPr>
              <w:fldChar w:fldCharType="begin"/>
            </w:r>
            <w:r w:rsidR="0013040B">
              <w:rPr>
                <w:noProof/>
                <w:webHidden/>
              </w:rPr>
              <w:instrText xml:space="preserve"> PAGEREF _Toc63432753 \h </w:instrText>
            </w:r>
            <w:r w:rsidR="0013040B">
              <w:rPr>
                <w:noProof/>
                <w:webHidden/>
              </w:rPr>
            </w:r>
            <w:r w:rsidR="0013040B">
              <w:rPr>
                <w:noProof/>
                <w:webHidden/>
              </w:rPr>
              <w:fldChar w:fldCharType="separate"/>
            </w:r>
            <w:r w:rsidR="00D35AE1">
              <w:rPr>
                <w:noProof/>
                <w:webHidden/>
              </w:rPr>
              <w:t>12</w:t>
            </w:r>
            <w:r w:rsidR="0013040B">
              <w:rPr>
                <w:noProof/>
                <w:webHidden/>
              </w:rPr>
              <w:fldChar w:fldCharType="end"/>
            </w:r>
          </w:hyperlink>
        </w:p>
        <w:p w14:paraId="76DE1179" w14:textId="77777777" w:rsidR="0013040B" w:rsidRDefault="005971E8">
          <w:pPr>
            <w:pStyle w:val="TOC2"/>
            <w:tabs>
              <w:tab w:val="left" w:pos="1100"/>
              <w:tab w:val="right" w:leader="dot" w:pos="9016"/>
            </w:tabs>
            <w:rPr>
              <w:rFonts w:eastAsiaTheme="minorEastAsia"/>
              <w:noProof/>
              <w:sz w:val="22"/>
              <w:lang w:eastAsia="en-GB"/>
            </w:rPr>
          </w:pPr>
          <w:hyperlink w:anchor="_Toc63432754" w:history="1">
            <w:r w:rsidR="0013040B" w:rsidRPr="007B0E71">
              <w:rPr>
                <w:rStyle w:val="Hyperlink"/>
                <w:noProof/>
              </w:rPr>
              <w:t>11.6.</w:t>
            </w:r>
            <w:r w:rsidR="0013040B">
              <w:rPr>
                <w:rFonts w:eastAsiaTheme="minorEastAsia"/>
                <w:noProof/>
                <w:sz w:val="22"/>
                <w:lang w:eastAsia="en-GB"/>
              </w:rPr>
              <w:tab/>
            </w:r>
            <w:r w:rsidR="0013040B" w:rsidRPr="007B0E71">
              <w:rPr>
                <w:rStyle w:val="Hyperlink"/>
                <w:noProof/>
              </w:rPr>
              <w:t>Staff Survey</w:t>
            </w:r>
            <w:r w:rsidR="0013040B">
              <w:rPr>
                <w:noProof/>
                <w:webHidden/>
              </w:rPr>
              <w:tab/>
            </w:r>
            <w:r w:rsidR="0013040B">
              <w:rPr>
                <w:noProof/>
                <w:webHidden/>
              </w:rPr>
              <w:fldChar w:fldCharType="begin"/>
            </w:r>
            <w:r w:rsidR="0013040B">
              <w:rPr>
                <w:noProof/>
                <w:webHidden/>
              </w:rPr>
              <w:instrText xml:space="preserve"> PAGEREF _Toc63432754 \h </w:instrText>
            </w:r>
            <w:r w:rsidR="0013040B">
              <w:rPr>
                <w:noProof/>
                <w:webHidden/>
              </w:rPr>
            </w:r>
            <w:r w:rsidR="0013040B">
              <w:rPr>
                <w:noProof/>
                <w:webHidden/>
              </w:rPr>
              <w:fldChar w:fldCharType="separate"/>
            </w:r>
            <w:r w:rsidR="00D35AE1">
              <w:rPr>
                <w:noProof/>
                <w:webHidden/>
              </w:rPr>
              <w:t>12</w:t>
            </w:r>
            <w:r w:rsidR="0013040B">
              <w:rPr>
                <w:noProof/>
                <w:webHidden/>
              </w:rPr>
              <w:fldChar w:fldCharType="end"/>
            </w:r>
          </w:hyperlink>
        </w:p>
        <w:p w14:paraId="678A1F25" w14:textId="77777777" w:rsidR="0013040B" w:rsidRDefault="005971E8">
          <w:pPr>
            <w:pStyle w:val="TOC1"/>
            <w:tabs>
              <w:tab w:val="left" w:pos="660"/>
              <w:tab w:val="right" w:leader="dot" w:pos="9016"/>
            </w:tabs>
            <w:rPr>
              <w:rFonts w:eastAsiaTheme="minorEastAsia"/>
              <w:noProof/>
              <w:sz w:val="22"/>
              <w:lang w:eastAsia="en-GB"/>
            </w:rPr>
          </w:pPr>
          <w:hyperlink w:anchor="_Toc63432758" w:history="1">
            <w:r w:rsidR="0013040B" w:rsidRPr="007B0E71">
              <w:rPr>
                <w:rStyle w:val="Hyperlink"/>
                <w:noProof/>
              </w:rPr>
              <w:t>12.</w:t>
            </w:r>
            <w:r w:rsidR="0013040B">
              <w:rPr>
                <w:rFonts w:eastAsiaTheme="minorEastAsia"/>
                <w:noProof/>
                <w:sz w:val="22"/>
                <w:lang w:eastAsia="en-GB"/>
              </w:rPr>
              <w:tab/>
            </w:r>
            <w:r w:rsidR="0013040B" w:rsidRPr="007B0E71">
              <w:rPr>
                <w:rStyle w:val="Hyperlink"/>
                <w:noProof/>
              </w:rPr>
              <w:t>Student Key Performance Indicators</w:t>
            </w:r>
            <w:r w:rsidR="0013040B">
              <w:rPr>
                <w:noProof/>
                <w:webHidden/>
              </w:rPr>
              <w:tab/>
            </w:r>
            <w:r w:rsidR="0013040B">
              <w:rPr>
                <w:noProof/>
                <w:webHidden/>
              </w:rPr>
              <w:fldChar w:fldCharType="begin"/>
            </w:r>
            <w:r w:rsidR="0013040B">
              <w:rPr>
                <w:noProof/>
                <w:webHidden/>
              </w:rPr>
              <w:instrText xml:space="preserve"> PAGEREF _Toc63432758 \h </w:instrText>
            </w:r>
            <w:r w:rsidR="0013040B">
              <w:rPr>
                <w:noProof/>
                <w:webHidden/>
              </w:rPr>
            </w:r>
            <w:r w:rsidR="0013040B">
              <w:rPr>
                <w:noProof/>
                <w:webHidden/>
              </w:rPr>
              <w:fldChar w:fldCharType="separate"/>
            </w:r>
            <w:r w:rsidR="00D35AE1">
              <w:rPr>
                <w:noProof/>
                <w:webHidden/>
              </w:rPr>
              <w:t>14</w:t>
            </w:r>
            <w:r w:rsidR="0013040B">
              <w:rPr>
                <w:noProof/>
                <w:webHidden/>
              </w:rPr>
              <w:fldChar w:fldCharType="end"/>
            </w:r>
          </w:hyperlink>
        </w:p>
        <w:p w14:paraId="38D9B159" w14:textId="77777777" w:rsidR="0013040B" w:rsidRDefault="005971E8">
          <w:pPr>
            <w:pStyle w:val="TOC2"/>
            <w:tabs>
              <w:tab w:val="left" w:pos="1100"/>
              <w:tab w:val="right" w:leader="dot" w:pos="9016"/>
            </w:tabs>
            <w:rPr>
              <w:rFonts w:eastAsiaTheme="minorEastAsia"/>
              <w:noProof/>
              <w:sz w:val="22"/>
              <w:lang w:eastAsia="en-GB"/>
            </w:rPr>
          </w:pPr>
          <w:hyperlink w:anchor="_Toc63432759" w:history="1">
            <w:r w:rsidR="0013040B" w:rsidRPr="007B0E71">
              <w:rPr>
                <w:rStyle w:val="Hyperlink"/>
                <w:noProof/>
              </w:rPr>
              <w:t>12.1.</w:t>
            </w:r>
            <w:r w:rsidR="0013040B">
              <w:rPr>
                <w:rFonts w:eastAsiaTheme="minorEastAsia"/>
                <w:noProof/>
                <w:sz w:val="22"/>
                <w:lang w:eastAsia="en-GB"/>
              </w:rPr>
              <w:tab/>
            </w:r>
            <w:r w:rsidR="0013040B" w:rsidRPr="007B0E71">
              <w:rPr>
                <w:rStyle w:val="Hyperlink"/>
                <w:noProof/>
              </w:rPr>
              <w:t>Student Recruitment: UK domiciled first degree entrants only.</w:t>
            </w:r>
            <w:r w:rsidR="0013040B">
              <w:rPr>
                <w:noProof/>
                <w:webHidden/>
              </w:rPr>
              <w:tab/>
            </w:r>
            <w:r w:rsidR="0013040B">
              <w:rPr>
                <w:noProof/>
                <w:webHidden/>
              </w:rPr>
              <w:fldChar w:fldCharType="begin"/>
            </w:r>
            <w:r w:rsidR="0013040B">
              <w:rPr>
                <w:noProof/>
                <w:webHidden/>
              </w:rPr>
              <w:instrText xml:space="preserve"> PAGEREF _Toc63432759 \h </w:instrText>
            </w:r>
            <w:r w:rsidR="0013040B">
              <w:rPr>
                <w:noProof/>
                <w:webHidden/>
              </w:rPr>
            </w:r>
            <w:r w:rsidR="0013040B">
              <w:rPr>
                <w:noProof/>
                <w:webHidden/>
              </w:rPr>
              <w:fldChar w:fldCharType="separate"/>
            </w:r>
            <w:r w:rsidR="00D35AE1">
              <w:rPr>
                <w:noProof/>
                <w:webHidden/>
              </w:rPr>
              <w:t>14</w:t>
            </w:r>
            <w:r w:rsidR="0013040B">
              <w:rPr>
                <w:noProof/>
                <w:webHidden/>
              </w:rPr>
              <w:fldChar w:fldCharType="end"/>
            </w:r>
          </w:hyperlink>
        </w:p>
        <w:p w14:paraId="37B73F57" w14:textId="77777777" w:rsidR="0013040B" w:rsidRDefault="005971E8">
          <w:pPr>
            <w:pStyle w:val="TOC2"/>
            <w:tabs>
              <w:tab w:val="left" w:pos="1100"/>
              <w:tab w:val="right" w:leader="dot" w:pos="9016"/>
            </w:tabs>
            <w:rPr>
              <w:rFonts w:eastAsiaTheme="minorEastAsia"/>
              <w:noProof/>
              <w:sz w:val="22"/>
              <w:lang w:eastAsia="en-GB"/>
            </w:rPr>
          </w:pPr>
          <w:hyperlink w:anchor="_Toc63432764" w:history="1">
            <w:r w:rsidR="0013040B" w:rsidRPr="007B0E71">
              <w:rPr>
                <w:rStyle w:val="Hyperlink"/>
                <w:noProof/>
              </w:rPr>
              <w:t>12.2.</w:t>
            </w:r>
            <w:r w:rsidR="0013040B">
              <w:rPr>
                <w:rFonts w:eastAsiaTheme="minorEastAsia"/>
                <w:noProof/>
                <w:sz w:val="22"/>
                <w:lang w:eastAsia="en-GB"/>
              </w:rPr>
              <w:tab/>
            </w:r>
            <w:r w:rsidR="0013040B" w:rsidRPr="007B0E71">
              <w:rPr>
                <w:rStyle w:val="Hyperlink"/>
                <w:noProof/>
              </w:rPr>
              <w:t>Student Degree Attainment</w:t>
            </w:r>
            <w:r w:rsidR="0013040B">
              <w:rPr>
                <w:noProof/>
                <w:webHidden/>
              </w:rPr>
              <w:tab/>
            </w:r>
            <w:r w:rsidR="0013040B">
              <w:rPr>
                <w:noProof/>
                <w:webHidden/>
              </w:rPr>
              <w:fldChar w:fldCharType="begin"/>
            </w:r>
            <w:r w:rsidR="0013040B">
              <w:rPr>
                <w:noProof/>
                <w:webHidden/>
              </w:rPr>
              <w:instrText xml:space="preserve"> PAGEREF _Toc63432764 \h </w:instrText>
            </w:r>
            <w:r w:rsidR="0013040B">
              <w:rPr>
                <w:noProof/>
                <w:webHidden/>
              </w:rPr>
            </w:r>
            <w:r w:rsidR="0013040B">
              <w:rPr>
                <w:noProof/>
                <w:webHidden/>
              </w:rPr>
              <w:fldChar w:fldCharType="separate"/>
            </w:r>
            <w:r w:rsidR="00D35AE1">
              <w:rPr>
                <w:noProof/>
                <w:webHidden/>
              </w:rPr>
              <w:t>15</w:t>
            </w:r>
            <w:r w:rsidR="0013040B">
              <w:rPr>
                <w:noProof/>
                <w:webHidden/>
              </w:rPr>
              <w:fldChar w:fldCharType="end"/>
            </w:r>
          </w:hyperlink>
        </w:p>
        <w:p w14:paraId="0C05C9F8" w14:textId="77777777" w:rsidR="0013040B" w:rsidRDefault="005971E8">
          <w:pPr>
            <w:pStyle w:val="TOC1"/>
            <w:tabs>
              <w:tab w:val="left" w:pos="660"/>
              <w:tab w:val="right" w:leader="dot" w:pos="9016"/>
            </w:tabs>
            <w:rPr>
              <w:rFonts w:eastAsiaTheme="minorEastAsia"/>
              <w:noProof/>
              <w:sz w:val="22"/>
              <w:lang w:eastAsia="en-GB"/>
            </w:rPr>
          </w:pPr>
          <w:hyperlink w:anchor="_Toc63432765" w:history="1">
            <w:r w:rsidR="0013040B" w:rsidRPr="007B0E71">
              <w:rPr>
                <w:rStyle w:val="Hyperlink"/>
                <w:noProof/>
              </w:rPr>
              <w:t>13.</w:t>
            </w:r>
            <w:r w:rsidR="0013040B">
              <w:rPr>
                <w:rFonts w:eastAsiaTheme="minorEastAsia"/>
                <w:noProof/>
                <w:sz w:val="22"/>
                <w:lang w:eastAsia="en-GB"/>
              </w:rPr>
              <w:tab/>
            </w:r>
            <w:r w:rsidR="0013040B" w:rsidRPr="007B0E71">
              <w:rPr>
                <w:rStyle w:val="Hyperlink"/>
                <w:noProof/>
              </w:rPr>
              <w:t>Data Definitions</w:t>
            </w:r>
            <w:r w:rsidR="0013040B">
              <w:rPr>
                <w:noProof/>
                <w:webHidden/>
              </w:rPr>
              <w:tab/>
            </w:r>
            <w:r w:rsidR="0013040B">
              <w:rPr>
                <w:noProof/>
                <w:webHidden/>
              </w:rPr>
              <w:fldChar w:fldCharType="begin"/>
            </w:r>
            <w:r w:rsidR="0013040B">
              <w:rPr>
                <w:noProof/>
                <w:webHidden/>
              </w:rPr>
              <w:instrText xml:space="preserve"> PAGEREF _Toc63432765 \h </w:instrText>
            </w:r>
            <w:r w:rsidR="0013040B">
              <w:rPr>
                <w:noProof/>
                <w:webHidden/>
              </w:rPr>
            </w:r>
            <w:r w:rsidR="0013040B">
              <w:rPr>
                <w:noProof/>
                <w:webHidden/>
              </w:rPr>
              <w:fldChar w:fldCharType="separate"/>
            </w:r>
            <w:r w:rsidR="00D35AE1">
              <w:rPr>
                <w:noProof/>
                <w:webHidden/>
              </w:rPr>
              <w:t>16</w:t>
            </w:r>
            <w:r w:rsidR="0013040B">
              <w:rPr>
                <w:noProof/>
                <w:webHidden/>
              </w:rPr>
              <w:fldChar w:fldCharType="end"/>
            </w:r>
          </w:hyperlink>
        </w:p>
        <w:p w14:paraId="680A6BA1" w14:textId="77777777" w:rsidR="00EB45D5" w:rsidRDefault="008C64CD">
          <w:pPr>
            <w:rPr>
              <w:b/>
              <w:bCs/>
              <w:noProof/>
            </w:rPr>
          </w:pPr>
          <w:r>
            <w:rPr>
              <w:b/>
              <w:bCs/>
              <w:noProof/>
            </w:rPr>
            <w:fldChar w:fldCharType="end"/>
          </w:r>
        </w:p>
      </w:sdtContent>
    </w:sdt>
    <w:p w14:paraId="502189D9" w14:textId="211A777E" w:rsidR="0013708F" w:rsidRDefault="00CA3793" w:rsidP="004149E5">
      <w:pPr>
        <w:rPr>
          <w:rFonts w:ascii="Calibri" w:eastAsiaTheme="majorEastAsia" w:hAnsi="Calibri" w:cstheme="majorBidi"/>
          <w:b/>
          <w:sz w:val="32"/>
          <w:szCs w:val="32"/>
        </w:rPr>
      </w:pPr>
      <w:r>
        <w:br w:type="page"/>
      </w:r>
    </w:p>
    <w:p w14:paraId="2C3066D4" w14:textId="1B1357F1" w:rsidR="00D749F1" w:rsidRDefault="00D749F1" w:rsidP="001728CD">
      <w:pPr>
        <w:pStyle w:val="Heading1"/>
        <w:numPr>
          <w:ilvl w:val="0"/>
          <w:numId w:val="4"/>
        </w:numPr>
      </w:pPr>
      <w:bookmarkStart w:id="1" w:name="_Toc63432723"/>
      <w:r>
        <w:lastRenderedPageBreak/>
        <w:t>Introduction</w:t>
      </w:r>
      <w:bookmarkEnd w:id="1"/>
    </w:p>
    <w:p w14:paraId="033729E6" w14:textId="7CCF535B" w:rsidR="004D3B17" w:rsidRDefault="00D749F1">
      <w:r>
        <w:t xml:space="preserve">Welcome to the annual diversity and equality report for the academic year 2019-2020. The report provides an overview of key activities, outcomes, and key performance indicators relating </w:t>
      </w:r>
      <w:r w:rsidR="004D3B17">
        <w:t xml:space="preserve">to our priority areas set out in the </w:t>
      </w:r>
      <w:hyperlink r:id="rId13" w:history="1">
        <w:r w:rsidR="004D3B17" w:rsidRPr="00467BC2">
          <w:rPr>
            <w:rStyle w:val="Hyperlink"/>
          </w:rPr>
          <w:t>Equality Framework and Action Plan</w:t>
        </w:r>
      </w:hyperlink>
      <w:r w:rsidR="004D3B17">
        <w:t xml:space="preserve"> and our work to implement the Public Sector Equality Duty.</w:t>
      </w:r>
    </w:p>
    <w:p w14:paraId="2FC54606" w14:textId="47B492C9" w:rsidR="004D3B17" w:rsidRDefault="004D3B17" w:rsidP="004D3B17">
      <w:r>
        <w:t>Our 6 student equality objectives are to:</w:t>
      </w:r>
    </w:p>
    <w:p w14:paraId="2D9E6B9C" w14:textId="65A8EB34" w:rsidR="004D3B17" w:rsidRDefault="004D3B17" w:rsidP="004D3B17">
      <w:pPr>
        <w:pStyle w:val="ListParagraph"/>
        <w:numPr>
          <w:ilvl w:val="0"/>
          <w:numId w:val="22"/>
        </w:numPr>
      </w:pPr>
      <w:r>
        <w:t>Make significant and sustained improvements in the participation rates for the most disadvantaged and underrepresented groups, and in the diversity of the student population.</w:t>
      </w:r>
    </w:p>
    <w:p w14:paraId="3192FDF0" w14:textId="1C541664" w:rsidR="004D3B17" w:rsidRDefault="004D3B17" w:rsidP="004D3B17">
      <w:pPr>
        <w:pStyle w:val="ListParagraph"/>
        <w:numPr>
          <w:ilvl w:val="0"/>
          <w:numId w:val="22"/>
        </w:numPr>
      </w:pPr>
      <w:r>
        <w:t>Improve student retention and progression rates for the most disadvantaged and underrepresented groups.</w:t>
      </w:r>
    </w:p>
    <w:p w14:paraId="6F24B7DA" w14:textId="60EBAE67" w:rsidR="004D3B17" w:rsidRDefault="004D3B17" w:rsidP="004D3B17">
      <w:pPr>
        <w:pStyle w:val="ListParagraph"/>
        <w:numPr>
          <w:ilvl w:val="0"/>
          <w:numId w:val="22"/>
        </w:numPr>
      </w:pPr>
      <w:r>
        <w:t>Improve degree attainment outcomes and reduce any unexplained degree gap differentials for different student groups.</w:t>
      </w:r>
    </w:p>
    <w:p w14:paraId="6EAE13F6" w14:textId="4C8E8879" w:rsidR="004D3B17" w:rsidRDefault="004D3B17" w:rsidP="004D3B17">
      <w:pPr>
        <w:pStyle w:val="ListParagraph"/>
        <w:numPr>
          <w:ilvl w:val="0"/>
          <w:numId w:val="22"/>
        </w:numPr>
      </w:pPr>
      <w:r>
        <w:t>Improve progression to postgraduate study for people from disadvantaged groups and narrow the gap between advantaged and disadvantaged groups.</w:t>
      </w:r>
    </w:p>
    <w:p w14:paraId="2740C89E" w14:textId="131668BF" w:rsidR="004D3B17" w:rsidRDefault="004D3B17" w:rsidP="004D3B17">
      <w:pPr>
        <w:pStyle w:val="ListParagraph"/>
        <w:numPr>
          <w:ilvl w:val="0"/>
          <w:numId w:val="22"/>
        </w:numPr>
      </w:pPr>
      <w:r>
        <w:t>Reduce inequalities in graduate level employment outcomes from different groups and narrow the gap in employment outcomes between advantaged and disadvantaged groups.</w:t>
      </w:r>
    </w:p>
    <w:p w14:paraId="5140DEED" w14:textId="5DBD123F" w:rsidR="004D3B17" w:rsidRDefault="004D3B17" w:rsidP="004D3B17">
      <w:pPr>
        <w:pStyle w:val="ListParagraph"/>
        <w:numPr>
          <w:ilvl w:val="0"/>
          <w:numId w:val="22"/>
        </w:numPr>
      </w:pPr>
      <w:r>
        <w:t>Foster good relations between different communities by providing opportunities to come together, learn and understand one another.</w:t>
      </w:r>
    </w:p>
    <w:p w14:paraId="40B50AFB" w14:textId="2A40D613" w:rsidR="004D3B17" w:rsidRDefault="004D3B17">
      <w:r>
        <w:t>Our 6 staff equality objectives are to:</w:t>
      </w:r>
    </w:p>
    <w:p w14:paraId="21CBCE64" w14:textId="3971D0D5" w:rsidR="004D3B17" w:rsidRDefault="004D3B17" w:rsidP="004D3B17">
      <w:pPr>
        <w:pStyle w:val="ListParagraph"/>
        <w:numPr>
          <w:ilvl w:val="0"/>
          <w:numId w:val="23"/>
        </w:numPr>
      </w:pPr>
      <w:r>
        <w:t>Make significant and sustained improvements in the recruitment (application and appointment) rates for the most underrepresented groups in the workforce.</w:t>
      </w:r>
    </w:p>
    <w:p w14:paraId="6CBA6299" w14:textId="77777777" w:rsidR="004D3B17" w:rsidRDefault="004D3B17" w:rsidP="004D3B17">
      <w:pPr>
        <w:pStyle w:val="ListParagraph"/>
        <w:numPr>
          <w:ilvl w:val="0"/>
          <w:numId w:val="23"/>
        </w:numPr>
      </w:pPr>
      <w:r>
        <w:t>Make sustained improvements in the retention and progression rates of underrepresented groups in the workforce.</w:t>
      </w:r>
    </w:p>
    <w:p w14:paraId="22B98428" w14:textId="092FD690" w:rsidR="004D3B17" w:rsidRDefault="004D3B17" w:rsidP="004D3B17">
      <w:pPr>
        <w:pStyle w:val="ListParagraph"/>
        <w:numPr>
          <w:ilvl w:val="0"/>
          <w:numId w:val="23"/>
        </w:numPr>
      </w:pPr>
      <w:r>
        <w:t xml:space="preserve">Make sustained improvements in the diversity of the University’s Management and Governance boards by ensuring fair, </w:t>
      </w:r>
      <w:r w:rsidR="00193561">
        <w:t>transparent,</w:t>
      </w:r>
      <w:r>
        <w:t xml:space="preserve"> and equitable processes.</w:t>
      </w:r>
    </w:p>
    <w:p w14:paraId="420FC45A" w14:textId="3F9CE611" w:rsidR="004D3B17" w:rsidRDefault="004D3B17" w:rsidP="004D3B17">
      <w:pPr>
        <w:pStyle w:val="ListParagraph"/>
        <w:numPr>
          <w:ilvl w:val="0"/>
          <w:numId w:val="23"/>
        </w:numPr>
      </w:pPr>
      <w:r>
        <w:t>To be a sector leading employer of choice for underrepresented groups within the workforce.</w:t>
      </w:r>
    </w:p>
    <w:p w14:paraId="71EC9805" w14:textId="0132E662" w:rsidR="004D3B17" w:rsidRDefault="004D3B17" w:rsidP="004D3B17">
      <w:pPr>
        <w:pStyle w:val="ListParagraph"/>
        <w:numPr>
          <w:ilvl w:val="0"/>
          <w:numId w:val="23"/>
        </w:numPr>
      </w:pPr>
      <w:r>
        <w:t>To be a sector leading Family Friendly employer.</w:t>
      </w:r>
    </w:p>
    <w:p w14:paraId="43518AA6" w14:textId="18BCE6AA" w:rsidR="004D3B17" w:rsidRDefault="004D3B17" w:rsidP="004D3B17">
      <w:pPr>
        <w:pStyle w:val="ListParagraph"/>
        <w:numPr>
          <w:ilvl w:val="0"/>
          <w:numId w:val="23"/>
        </w:numPr>
      </w:pPr>
      <w:r>
        <w:t>Embed the principles of diversity and equality leadership practices, and to improve the diversity of our people in leadership positions.</w:t>
      </w:r>
    </w:p>
    <w:p w14:paraId="57E5A30A" w14:textId="5A84DF0F" w:rsidR="00FD1A75" w:rsidRDefault="00D749F1">
      <w:r>
        <w:t>The report is compl</w:t>
      </w:r>
      <w:r w:rsidR="0077745B">
        <w:t>e</w:t>
      </w:r>
      <w:r>
        <w:t xml:space="preserve">mented by the </w:t>
      </w:r>
      <w:r w:rsidRPr="00FE608E">
        <w:t>Diver</w:t>
      </w:r>
      <w:r w:rsidR="00FE608E" w:rsidRPr="00FE608E">
        <w:t>sity and Equality Infographics R</w:t>
      </w:r>
      <w:r w:rsidR="00FE608E">
        <w:t>eport 2019-2020 (</w:t>
      </w:r>
      <w:hyperlink r:id="rId14" w:history="1">
        <w:r w:rsidR="00FE608E" w:rsidRPr="00FE608E">
          <w:rPr>
            <w:rStyle w:val="Hyperlink"/>
          </w:rPr>
          <w:t>Summary</w:t>
        </w:r>
      </w:hyperlink>
      <w:r w:rsidR="00FE608E">
        <w:t xml:space="preserve"> and </w:t>
      </w:r>
      <w:hyperlink r:id="rId15" w:history="1">
        <w:r w:rsidR="00FE608E" w:rsidRPr="00FE608E">
          <w:rPr>
            <w:rStyle w:val="Hyperlink"/>
          </w:rPr>
          <w:t>Full Report</w:t>
        </w:r>
      </w:hyperlink>
      <w:r w:rsidR="00FE608E">
        <w:t xml:space="preserve">) </w:t>
      </w:r>
      <w:r>
        <w:t xml:space="preserve">which provides an overview of the staff and student population. </w:t>
      </w:r>
    </w:p>
    <w:p w14:paraId="6177594A" w14:textId="77777777" w:rsidR="004D3B17" w:rsidRDefault="004D3B17"/>
    <w:p w14:paraId="3AA94413" w14:textId="77777777" w:rsidR="004D3B17" w:rsidRDefault="004D3B17"/>
    <w:p w14:paraId="1FAC902D" w14:textId="77777777" w:rsidR="00D749F1" w:rsidRPr="00D749F1" w:rsidRDefault="00CE7028" w:rsidP="00467BC2">
      <w:pPr>
        <w:pStyle w:val="Heading1"/>
        <w:numPr>
          <w:ilvl w:val="0"/>
          <w:numId w:val="4"/>
        </w:numPr>
      </w:pPr>
      <w:bookmarkStart w:id="2" w:name="_Toc63432724"/>
      <w:r>
        <w:lastRenderedPageBreak/>
        <w:t xml:space="preserve">Response to </w:t>
      </w:r>
      <w:r w:rsidR="00D749F1" w:rsidRPr="00D749F1">
        <w:t>COVID-19</w:t>
      </w:r>
      <w:bookmarkEnd w:id="2"/>
    </w:p>
    <w:p w14:paraId="3A23C426" w14:textId="758FCED8" w:rsidR="00D749F1" w:rsidRDefault="00526E0B">
      <w:r w:rsidRPr="00526E0B">
        <w:t>The global pandemic caused by COVID</w:t>
      </w:r>
      <w:r w:rsidR="00333CDF">
        <w:t>-</w:t>
      </w:r>
      <w:r w:rsidRPr="00526E0B">
        <w:t>19 has significantly disrupted day-to-day business at the University, with the vast majority of staff wo</w:t>
      </w:r>
      <w:r w:rsidR="00193561">
        <w:t>rking from home since March 2020</w:t>
      </w:r>
      <w:r w:rsidRPr="00526E0B">
        <w:t xml:space="preserve">, </w:t>
      </w:r>
      <w:r>
        <w:t>the suspension of</w:t>
      </w:r>
      <w:r w:rsidR="00193561">
        <w:t xml:space="preserve"> most</w:t>
      </w:r>
      <w:r>
        <w:t xml:space="preserve"> face to face student teaching, and the subsequent impact on staff/student wellbeing, continuation of employment, and financial uncertainty. </w:t>
      </w:r>
    </w:p>
    <w:p w14:paraId="0928A952" w14:textId="7635B5E4" w:rsidR="00493D6E" w:rsidRDefault="00493D6E">
      <w:r>
        <w:t xml:space="preserve">This </w:t>
      </w:r>
      <w:r w:rsidR="00193561">
        <w:t>disruption has also impacted</w:t>
      </w:r>
      <w:r w:rsidRPr="00493D6E">
        <w:t xml:space="preserve"> planned diversity and equality work</w:t>
      </w:r>
      <w:r>
        <w:t xml:space="preserve"> for this year</w:t>
      </w:r>
      <w:r w:rsidRPr="00493D6E">
        <w:t xml:space="preserve">. </w:t>
      </w:r>
      <w:r w:rsidR="00E517A8">
        <w:t>A significant amount of p</w:t>
      </w:r>
      <w:r>
        <w:t xml:space="preserve">lanned </w:t>
      </w:r>
      <w:r w:rsidR="00E517A8">
        <w:t>activities have</w:t>
      </w:r>
      <w:r>
        <w:t xml:space="preserve"> not tak</w:t>
      </w:r>
      <w:r w:rsidR="00E517A8">
        <w:t>en place or have been deferred</w:t>
      </w:r>
      <w:r w:rsidR="00193561">
        <w:t xml:space="preserve"> and replaced by activity to respond to the current circumstances</w:t>
      </w:r>
      <w:r>
        <w:t xml:space="preserve">. </w:t>
      </w:r>
      <w:r w:rsidR="00193561">
        <w:t>Therefore this report</w:t>
      </w:r>
      <w:r w:rsidRPr="00493D6E">
        <w:t xml:space="preserve"> aims to reflect the work that has occurred, rather than providing a commentary of what has not.</w:t>
      </w:r>
    </w:p>
    <w:p w14:paraId="77F45526" w14:textId="771AB88F" w:rsidR="004878FF" w:rsidRDefault="004878FF" w:rsidP="00467BC2">
      <w:pPr>
        <w:pStyle w:val="Heading2"/>
        <w:numPr>
          <w:ilvl w:val="1"/>
          <w:numId w:val="4"/>
        </w:numPr>
      </w:pPr>
      <w:bookmarkStart w:id="3" w:name="_Toc57023210"/>
      <w:bookmarkStart w:id="4" w:name="_Toc63432725"/>
      <w:r>
        <w:t xml:space="preserve">Flexible Working and Work </w:t>
      </w:r>
      <w:r w:rsidR="00333CDF">
        <w:t>L</w:t>
      </w:r>
      <w:r>
        <w:t>ife Balance</w:t>
      </w:r>
      <w:bookmarkEnd w:id="3"/>
      <w:bookmarkEnd w:id="4"/>
    </w:p>
    <w:p w14:paraId="73739301" w14:textId="5B177B8E" w:rsidR="00493D6E" w:rsidRDefault="00EB45D5">
      <w:r>
        <w:t>In response to COVID-19</w:t>
      </w:r>
      <w:r w:rsidR="00493D6E">
        <w:t>, the following key activities took place:</w:t>
      </w:r>
    </w:p>
    <w:p w14:paraId="33DB8579" w14:textId="77777777" w:rsidR="00493D6E" w:rsidRDefault="00493D6E" w:rsidP="00493D6E">
      <w:pPr>
        <w:pStyle w:val="ListParagraph"/>
        <w:numPr>
          <w:ilvl w:val="0"/>
          <w:numId w:val="2"/>
        </w:numPr>
      </w:pPr>
      <w:r>
        <w:t>A significant portion of staff moved to home working in March and remained home working</w:t>
      </w:r>
      <w:r w:rsidR="00E517A8">
        <w:t xml:space="preserve"> for the remainder of the year.</w:t>
      </w:r>
    </w:p>
    <w:p w14:paraId="43DE1A37" w14:textId="57272D33" w:rsidR="00B403F0" w:rsidRDefault="00B403F0" w:rsidP="00B403F0">
      <w:pPr>
        <w:pStyle w:val="ListParagraph"/>
        <w:numPr>
          <w:ilvl w:val="0"/>
          <w:numId w:val="2"/>
        </w:numPr>
      </w:pPr>
      <w:r w:rsidRPr="00B403F0">
        <w:t>The University adopted a “do what you can” position to support staff working from home, many with childcare, home schooling, a</w:t>
      </w:r>
      <w:r>
        <w:t xml:space="preserve">nd other caring </w:t>
      </w:r>
      <w:r w:rsidR="00571357">
        <w:t>responsibilities</w:t>
      </w:r>
      <w:r>
        <w:t xml:space="preserve">. Messages to line managers repeatedly emphasised that they should be flexible and supportive. In a Pulse Survey, </w:t>
      </w:r>
      <w:r w:rsidRPr="00B403F0">
        <w:t>73% of respondents agreed that they had been treated fairly when considering new w</w:t>
      </w:r>
      <w:r>
        <w:t xml:space="preserve">orking arrangements during this period. </w:t>
      </w:r>
    </w:p>
    <w:p w14:paraId="079C5365" w14:textId="77777777" w:rsidR="008B43C7" w:rsidRDefault="00493D6E" w:rsidP="005D40A2">
      <w:pPr>
        <w:pStyle w:val="ListParagraph"/>
        <w:numPr>
          <w:ilvl w:val="0"/>
          <w:numId w:val="2"/>
        </w:numPr>
      </w:pPr>
      <w:r>
        <w:t xml:space="preserve">The University introduced </w:t>
      </w:r>
      <w:r w:rsidR="008B43C7">
        <w:t>the “</w:t>
      </w:r>
      <w:r w:rsidR="008B43C7" w:rsidRPr="008B43C7">
        <w:t>Work Your Way – Flexible Working Options for Staff</w:t>
      </w:r>
      <w:r w:rsidR="008B43C7">
        <w:t>” in</w:t>
      </w:r>
      <w:r w:rsidR="005D40A2">
        <w:t xml:space="preserve">itiative including a new </w:t>
      </w:r>
      <w:r w:rsidR="008B43C7" w:rsidRPr="008B43C7">
        <w:t>Annual Leave Purchase Scheme</w:t>
      </w:r>
      <w:r w:rsidR="005D40A2">
        <w:t xml:space="preserve"> taken up by 106 staff, </w:t>
      </w:r>
      <w:r w:rsidR="008B43C7" w:rsidRPr="008B43C7">
        <w:t xml:space="preserve">Flexible Working </w:t>
      </w:r>
      <w:r w:rsidR="00E93815">
        <w:t>o</w:t>
      </w:r>
      <w:r w:rsidR="008B43C7" w:rsidRPr="008B43C7">
        <w:t>pportunities</w:t>
      </w:r>
      <w:r w:rsidR="005D40A2">
        <w:t xml:space="preserve"> taken up by 46 staff, </w:t>
      </w:r>
      <w:r w:rsidR="008B43C7" w:rsidRPr="008B43C7">
        <w:t>Enhanced ‘Career Break’ Opportunities</w:t>
      </w:r>
      <w:r w:rsidR="005D40A2">
        <w:t xml:space="preserve">, and </w:t>
      </w:r>
      <w:r w:rsidR="005D40A2" w:rsidRPr="005D40A2">
        <w:t>Flexible Retirement</w:t>
      </w:r>
      <w:r w:rsidR="005D40A2">
        <w:t>.</w:t>
      </w:r>
    </w:p>
    <w:p w14:paraId="1337F467" w14:textId="14FDE30F" w:rsidR="008C64CD" w:rsidRDefault="00B403F0" w:rsidP="001728CD">
      <w:pPr>
        <w:pStyle w:val="ListParagraph"/>
        <w:numPr>
          <w:ilvl w:val="0"/>
          <w:numId w:val="2"/>
        </w:numPr>
      </w:pPr>
      <w:r>
        <w:t>Two</w:t>
      </w:r>
      <w:r w:rsidR="00B34268">
        <w:t xml:space="preserve"> a</w:t>
      </w:r>
      <w:r w:rsidR="00193561">
        <w:t>dditional one-off U</w:t>
      </w:r>
      <w:r w:rsidR="004878FF" w:rsidRPr="001728CD">
        <w:t xml:space="preserve">niversity </w:t>
      </w:r>
      <w:r w:rsidR="00193561">
        <w:t>closure</w:t>
      </w:r>
      <w:r w:rsidR="004878FF" w:rsidRPr="001728CD">
        <w:t xml:space="preserve"> days were introduce</w:t>
      </w:r>
      <w:r w:rsidR="00571357">
        <w:t>d</w:t>
      </w:r>
      <w:r w:rsidR="004878FF" w:rsidRPr="001728CD">
        <w:t xml:space="preserve"> to aid with staff wellbeing during the lockdown period.  </w:t>
      </w:r>
    </w:p>
    <w:p w14:paraId="10FEF86E" w14:textId="1724F85E" w:rsidR="00B403F0" w:rsidRDefault="00B403F0" w:rsidP="001728CD">
      <w:pPr>
        <w:pStyle w:val="ListParagraph"/>
        <w:numPr>
          <w:ilvl w:val="0"/>
          <w:numId w:val="2"/>
        </w:numPr>
      </w:pPr>
      <w:r>
        <w:t>Two sets of Diversity &amp; Equality Factsheet for Managers were produced, the first providing advice on supporting staff home working, and the second on returning to campus.</w:t>
      </w:r>
    </w:p>
    <w:p w14:paraId="3E2287ED" w14:textId="420CA810" w:rsidR="00B403F0" w:rsidRDefault="00B403F0" w:rsidP="00B403F0">
      <w:pPr>
        <w:pStyle w:val="ListParagraph"/>
        <w:numPr>
          <w:ilvl w:val="0"/>
          <w:numId w:val="2"/>
        </w:numPr>
      </w:pPr>
      <w:r>
        <w:t xml:space="preserve">A new project called </w:t>
      </w:r>
      <w:hyperlink r:id="rId16" w:history="1">
        <w:r w:rsidRPr="00472517">
          <w:rPr>
            <w:rStyle w:val="Hyperlink"/>
          </w:rPr>
          <w:t>RISE</w:t>
        </w:r>
      </w:hyperlink>
      <w:r>
        <w:t xml:space="preserve"> (</w:t>
      </w:r>
      <w:r w:rsidRPr="00B403F0">
        <w:t>Research in an Inclusive and Sustainable Environment</w:t>
      </w:r>
      <w:r>
        <w:t xml:space="preserve">) has been launched to investigate how to support researchers in a COVID and post-COVID environment. </w:t>
      </w:r>
    </w:p>
    <w:p w14:paraId="4D4CF54F" w14:textId="687726E6" w:rsidR="00193561" w:rsidRPr="001728CD" w:rsidRDefault="00193561" w:rsidP="00193561">
      <w:pPr>
        <w:pStyle w:val="ListParagraph"/>
        <w:numPr>
          <w:ilvl w:val="0"/>
          <w:numId w:val="2"/>
        </w:numPr>
      </w:pPr>
      <w:r w:rsidRPr="00193561">
        <w:t>The Equality &amp; Engagement team and The Academy produced resources and development opportunities to support staff and managers to respond to home working. Additionally</w:t>
      </w:r>
      <w:r w:rsidR="00571357">
        <w:t>,</w:t>
      </w:r>
      <w:r w:rsidRPr="00193561">
        <w:t xml:space="preserve"> resources and development sessions were introduced to support those staff returning to campus in the 2020/21 academic year. </w:t>
      </w:r>
    </w:p>
    <w:p w14:paraId="64A7DB6C" w14:textId="77777777" w:rsidR="00D571F1" w:rsidRPr="00E0665B" w:rsidRDefault="00D571F1" w:rsidP="00467BC2">
      <w:pPr>
        <w:pStyle w:val="Heading1"/>
        <w:numPr>
          <w:ilvl w:val="0"/>
          <w:numId w:val="4"/>
        </w:numPr>
      </w:pPr>
      <w:bookmarkStart w:id="5" w:name="_Toc63432726"/>
      <w:r>
        <w:t>Bullying &amp; Harassment</w:t>
      </w:r>
      <w:bookmarkEnd w:id="5"/>
    </w:p>
    <w:p w14:paraId="1699AD6E" w14:textId="77777777" w:rsidR="00E517A8" w:rsidRDefault="004878FF" w:rsidP="00D571F1">
      <w:r>
        <w:t xml:space="preserve">The number of staff and students who contacted a Bullying &amp; Harassment Advisor in 2019/20 decreased from 43 to 26, although pre-COVID projections </w:t>
      </w:r>
      <w:r w:rsidR="0077745B">
        <w:t xml:space="preserve">from the first 6 months of the academic year </w:t>
      </w:r>
      <w:r>
        <w:t xml:space="preserve">anticipated that the number of contacts would have exceeded 2018/19 without the disruption. </w:t>
      </w:r>
    </w:p>
    <w:p w14:paraId="209F1DB8" w14:textId="77777777" w:rsidR="004878FF" w:rsidRDefault="004878FF" w:rsidP="00D571F1">
      <w:r>
        <w:lastRenderedPageBreak/>
        <w:t xml:space="preserve">The number of staff making </w:t>
      </w:r>
      <w:r w:rsidR="00E517A8">
        <w:t>a formal complaint</w:t>
      </w:r>
      <w:r>
        <w:t xml:space="preserve"> where bullying and harassment was the influencing factor, also remained</w:t>
      </w:r>
      <w:r w:rsidR="00E517A8">
        <w:t xml:space="preserve"> significantly low at 11; only 2</w:t>
      </w:r>
      <w:r>
        <w:t xml:space="preserve"> of which had an equality dimension.</w:t>
      </w:r>
      <w:r w:rsidR="00E517A8">
        <w:t xml:space="preserve"> Four stage 2 student complaints were received, 1 of which was equality related. </w:t>
      </w:r>
    </w:p>
    <w:p w14:paraId="1343DDA2" w14:textId="56AF0849" w:rsidR="00392B9C" w:rsidRDefault="004878FF" w:rsidP="00D571F1">
      <w:r>
        <w:t>This is in stark contrast to the Equality &amp; Human Rights Commission report int</w:t>
      </w:r>
      <w:r w:rsidR="00392B9C">
        <w:t>o racism in higher education which</w:t>
      </w:r>
      <w:r>
        <w:t xml:space="preserve"> found that 24% of ethnic minority students and 9% of white students had experienced racial harassment since starting their course. </w:t>
      </w:r>
      <w:r w:rsidR="00392B9C">
        <w:t>Similarly</w:t>
      </w:r>
      <w:r>
        <w:t xml:space="preserve"> the</w:t>
      </w:r>
      <w:r w:rsidR="00392B9C">
        <w:t xml:space="preserve"> Staff Survey 2019 found that 1</w:t>
      </w:r>
      <w:r w:rsidR="0077745B">
        <w:t>5</w:t>
      </w:r>
      <w:r>
        <w:t>% of staff had experienced some form of bullying and harassment in the previous year, and 22% of staff would be unlikely to report it if it had happened to them.</w:t>
      </w:r>
    </w:p>
    <w:p w14:paraId="2D9A55C3" w14:textId="77777777" w:rsidR="00E517A8" w:rsidRDefault="00E517A8" w:rsidP="00D571F1">
      <w:r>
        <w:t>The University will be introducing a new Report and Support tool in 2020/21 which aims to support staff and students in reporting bullying and harassment incidents, and a new online Bullying &amp; Harassment training module is to be introduced.</w:t>
      </w:r>
    </w:p>
    <w:p w14:paraId="14D8DF60" w14:textId="14DDAA6C" w:rsidR="00493D6E" w:rsidRDefault="00493D6E" w:rsidP="00D571F1">
      <w:r w:rsidRPr="00FE608E">
        <w:t xml:space="preserve">Read the </w:t>
      </w:r>
      <w:hyperlink r:id="rId17" w:history="1">
        <w:r w:rsidRPr="00FE608E">
          <w:rPr>
            <w:rStyle w:val="Hyperlink"/>
          </w:rPr>
          <w:t>Annual Di</w:t>
        </w:r>
        <w:r w:rsidR="00FE608E" w:rsidRPr="00FE608E">
          <w:rPr>
            <w:rStyle w:val="Hyperlink"/>
          </w:rPr>
          <w:t>gnity at Work and Study Report</w:t>
        </w:r>
      </w:hyperlink>
      <w:r w:rsidR="00FE608E">
        <w:t>.</w:t>
      </w:r>
    </w:p>
    <w:p w14:paraId="5EFE2EEE" w14:textId="77777777" w:rsidR="00392B9C" w:rsidRPr="00A57AFA" w:rsidRDefault="00392B9C" w:rsidP="00467BC2">
      <w:pPr>
        <w:pStyle w:val="Heading1"/>
        <w:numPr>
          <w:ilvl w:val="0"/>
          <w:numId w:val="4"/>
        </w:numPr>
      </w:pPr>
      <w:bookmarkStart w:id="6" w:name="_Toc63432727"/>
      <w:r w:rsidRPr="00A57AFA">
        <w:t>Racism in Higher Education</w:t>
      </w:r>
      <w:bookmarkEnd w:id="6"/>
    </w:p>
    <w:p w14:paraId="585B3E1F" w14:textId="77777777" w:rsidR="00392B9C" w:rsidRPr="00D571F1" w:rsidRDefault="00392B9C" w:rsidP="00392B9C">
      <w:r w:rsidRPr="00D571F1">
        <w:t>In October 2019 the Equality and Human Rights Commission (EHRC) released their report, “</w:t>
      </w:r>
      <w:hyperlink r:id="rId18" w:history="1">
        <w:r w:rsidRPr="00D571F1">
          <w:rPr>
            <w:rStyle w:val="Hyperlink"/>
          </w:rPr>
          <w:t>Tackling racial harassment: Universities challenged</w:t>
        </w:r>
      </w:hyperlink>
      <w:r w:rsidRPr="00D571F1">
        <w:t>” outlining their findings on the extent of race related bullying and harassment within the higher education sector.</w:t>
      </w:r>
    </w:p>
    <w:p w14:paraId="3F6B070D" w14:textId="34CAABA5" w:rsidR="00392B9C" w:rsidRPr="00D571F1" w:rsidRDefault="00392B9C" w:rsidP="00392B9C">
      <w:r w:rsidRPr="00D571F1">
        <w:t>In response, an internal EHRC Working Group was established, chaired by Professor Fiona Beveridge (Executive Pro-Vice</w:t>
      </w:r>
      <w:r w:rsidR="00547836">
        <w:t xml:space="preserve"> </w:t>
      </w:r>
      <w:r w:rsidRPr="00D571F1">
        <w:t>Chancellor, Faculty of Humanities and Social Sciences). In May 2020 the murder of George Floyd in the USA resulted in a significant global Black Lives Matter movement further highlighting the urgency of this work.</w:t>
      </w:r>
      <w:r w:rsidR="00E517A8">
        <w:t xml:space="preserve"> In response, the University took the following steps:</w:t>
      </w:r>
      <w:r w:rsidRPr="00D571F1">
        <w:t xml:space="preserve"> </w:t>
      </w:r>
    </w:p>
    <w:p w14:paraId="07FA44C2" w14:textId="22200CDD" w:rsidR="00392B9C" w:rsidRPr="00D571F1" w:rsidRDefault="00392B9C" w:rsidP="00392B9C">
      <w:pPr>
        <w:pStyle w:val="ListParagraph"/>
        <w:numPr>
          <w:ilvl w:val="0"/>
          <w:numId w:val="1"/>
        </w:numPr>
      </w:pPr>
      <w:r w:rsidRPr="00D571F1">
        <w:t>The University signed the joint National Union of Students and Universities UK Closing the Gap pledge on degree attainment differentials</w:t>
      </w:r>
      <w:r w:rsidR="00193561">
        <w:t>,</w:t>
      </w:r>
    </w:p>
    <w:p w14:paraId="272C8172" w14:textId="429A4C08" w:rsidR="00392B9C" w:rsidRPr="00D571F1" w:rsidRDefault="00392B9C" w:rsidP="00392B9C">
      <w:pPr>
        <w:pStyle w:val="ListParagraph"/>
        <w:numPr>
          <w:ilvl w:val="0"/>
          <w:numId w:val="1"/>
        </w:numPr>
      </w:pPr>
      <w:r w:rsidRPr="00D571F1">
        <w:t>Committed to join the AdvanceHE Race Equality Charter in early 2021</w:t>
      </w:r>
      <w:r w:rsidR="00193561">
        <w:t>,</w:t>
      </w:r>
    </w:p>
    <w:p w14:paraId="716ECA61" w14:textId="3463AF44" w:rsidR="00392B9C" w:rsidRPr="00D571F1" w:rsidRDefault="00392B9C" w:rsidP="00392B9C">
      <w:pPr>
        <w:pStyle w:val="ListParagraph"/>
        <w:numPr>
          <w:ilvl w:val="0"/>
          <w:numId w:val="1"/>
        </w:numPr>
      </w:pPr>
      <w:r w:rsidRPr="00D571F1">
        <w:t>Committed to rename Gladstone Hall of Residence due to the Gladstone famil</w:t>
      </w:r>
      <w:r w:rsidR="0077745B">
        <w:t>y’s</w:t>
      </w:r>
      <w:r w:rsidRPr="00D571F1">
        <w:t xml:space="preserve"> links to slavery</w:t>
      </w:r>
      <w:r w:rsidR="00193561">
        <w:t>,</w:t>
      </w:r>
    </w:p>
    <w:p w14:paraId="4256CE85" w14:textId="1E9F1CBD" w:rsidR="00392B9C" w:rsidRPr="00D571F1" w:rsidRDefault="00193561" w:rsidP="00392B9C">
      <w:pPr>
        <w:pStyle w:val="ListParagraph"/>
        <w:numPr>
          <w:ilvl w:val="0"/>
          <w:numId w:val="1"/>
        </w:numPr>
      </w:pPr>
      <w:r>
        <w:t>Adoption and publication</w:t>
      </w:r>
      <w:r w:rsidR="00392B9C" w:rsidRPr="00D571F1">
        <w:t xml:space="preserve"> of a </w:t>
      </w:r>
      <w:hyperlink r:id="rId19" w:history="1">
        <w:r w:rsidR="00392B9C" w:rsidRPr="00D571F1">
          <w:rPr>
            <w:rStyle w:val="Hyperlink"/>
          </w:rPr>
          <w:t>Race Equality and Anti-Racism Action Plan</w:t>
        </w:r>
      </w:hyperlink>
      <w:r>
        <w:t>,</w:t>
      </w:r>
    </w:p>
    <w:p w14:paraId="173D91B8" w14:textId="77777777" w:rsidR="00392B9C" w:rsidRDefault="00392B9C" w:rsidP="00D571F1">
      <w:pPr>
        <w:pStyle w:val="ListParagraph"/>
        <w:numPr>
          <w:ilvl w:val="0"/>
          <w:numId w:val="1"/>
        </w:numPr>
      </w:pPr>
      <w:r w:rsidRPr="00D571F1">
        <w:t xml:space="preserve">Committed to introduce a Report &amp; Support reporting tool </w:t>
      </w:r>
      <w:r>
        <w:t>for the 2020-2021 academic year.</w:t>
      </w:r>
    </w:p>
    <w:p w14:paraId="300C0BAC" w14:textId="77777777" w:rsidR="00D571F1" w:rsidRDefault="002B7017" w:rsidP="00467BC2">
      <w:pPr>
        <w:pStyle w:val="Heading1"/>
        <w:numPr>
          <w:ilvl w:val="0"/>
          <w:numId w:val="4"/>
        </w:numPr>
      </w:pPr>
      <w:bookmarkStart w:id="7" w:name="_Toc63432728"/>
      <w:r>
        <w:t>Achieving Gender Equality</w:t>
      </w:r>
      <w:bookmarkEnd w:id="7"/>
    </w:p>
    <w:p w14:paraId="5928986E" w14:textId="77777777" w:rsidR="00D571F1" w:rsidRDefault="00D571F1" w:rsidP="00D571F1">
      <w:r>
        <w:t xml:space="preserve">Work continued throughout 2019/20 on the implementation of the Athena SWAN Charter. </w:t>
      </w:r>
      <w:r w:rsidRPr="009E539E">
        <w:t>The School of Electrical Engineering, Electronics &amp; Computer Science achieved a Bronze Athe</w:t>
      </w:r>
      <w:r>
        <w:t xml:space="preserve">na SWAN award in November 2019 and the Management School made their first award application. </w:t>
      </w:r>
    </w:p>
    <w:p w14:paraId="056C90BA" w14:textId="6AFC6EA5" w:rsidR="00D571F1" w:rsidRDefault="00D571F1" w:rsidP="00D571F1">
      <w:r>
        <w:t xml:space="preserve">AdvanceHE changed the </w:t>
      </w:r>
      <w:r w:rsidR="00193561">
        <w:t xml:space="preserve">Athena SWAN </w:t>
      </w:r>
      <w:r>
        <w:t xml:space="preserve">institutional award length from 4 years to 5 years, and with the disruption caused by COVID, the decision was taken to delay the institutional </w:t>
      </w:r>
      <w:r>
        <w:lastRenderedPageBreak/>
        <w:t>award renewal until November 2021. A 1 year silver extension action pla</w:t>
      </w:r>
      <w:r w:rsidR="00A62819">
        <w:t xml:space="preserve">n </w:t>
      </w:r>
      <w:r w:rsidR="00571357">
        <w:t>has been</w:t>
      </w:r>
      <w:r w:rsidR="00A62819">
        <w:t xml:space="preserve"> developed to cover 202</w:t>
      </w:r>
      <w:r>
        <w:t>0-2021.</w:t>
      </w:r>
    </w:p>
    <w:p w14:paraId="566D5D91" w14:textId="05A75955" w:rsidR="00D571F1" w:rsidRDefault="00D571F1" w:rsidP="00D571F1">
      <w:r>
        <w:t>Due to the restructure of the Faculty of Health and Life Sciences, a</w:t>
      </w:r>
      <w:r w:rsidRPr="00D56766">
        <w:t>n interim Athena SWAN application is under development</w:t>
      </w:r>
      <w:r w:rsidR="0077745B">
        <w:t xml:space="preserve"> and is due to be submitted in November 2020</w:t>
      </w:r>
      <w:r>
        <w:t>. If successful t</w:t>
      </w:r>
      <w:r w:rsidRPr="00D56766">
        <w:t xml:space="preserve">his will transfer awards held under the old Faculty structure to departmental level. The four new institutes will then have three years to develop their own Athena SWAN action plans and applications. </w:t>
      </w:r>
      <w:r w:rsidRPr="009E539E">
        <w:t>Five staff were provided with centrally funded places on the Aurora leadership programme for women.  The Aurora Alumni Network has continued to meet both in person and online, providing an opportunity for Aurora alumni to hear from role</w:t>
      </w:r>
      <w:r>
        <w:t xml:space="preserve"> models, </w:t>
      </w:r>
      <w:r w:rsidR="0077745B">
        <w:t xml:space="preserve">share experiences and </w:t>
      </w:r>
      <w:r>
        <w:t>contribute to Universi</w:t>
      </w:r>
      <w:r w:rsidRPr="009E539E">
        <w:t xml:space="preserve">ty projects (such as the Leadership </w:t>
      </w:r>
      <w:r w:rsidR="0077745B">
        <w:t xml:space="preserve">Commitment </w:t>
      </w:r>
      <w:r w:rsidRPr="009E539E">
        <w:t>Framework</w:t>
      </w:r>
      <w:r>
        <w:t xml:space="preserve">) and network with each other. </w:t>
      </w:r>
    </w:p>
    <w:p w14:paraId="092EC132" w14:textId="6003BA62" w:rsidR="0025039B" w:rsidRDefault="00A62819" w:rsidP="00D571F1">
      <w:r>
        <w:t>The impact of our gender equality initiatives continue to be reflected in the annual promotion data, where in 2019</w:t>
      </w:r>
      <w:r w:rsidR="007C65C8">
        <w:t xml:space="preserve"> 31% of applicants for promotion to professor, and</w:t>
      </w:r>
      <w:r w:rsidR="00193561">
        <w:t xml:space="preserve"> 31% of successful promotions w</w:t>
      </w:r>
      <w:r w:rsidR="007C65C8">
        <w:t>ere women. O</w:t>
      </w:r>
      <w:r>
        <w:t xml:space="preserve">verall the total proportion </w:t>
      </w:r>
      <w:r w:rsidR="007C65C8">
        <w:t xml:space="preserve">of </w:t>
      </w:r>
      <w:r>
        <w:t>female professors now stands at 31% (HESA, 2018/19).</w:t>
      </w:r>
    </w:p>
    <w:p w14:paraId="31CC3957" w14:textId="3245F48A" w:rsidR="00CD3425" w:rsidRDefault="0025039B" w:rsidP="00D571F1">
      <w:r>
        <w:t xml:space="preserve">The University continued to invest in developing women’s careers, </w:t>
      </w:r>
      <w:r w:rsidR="00CD3425">
        <w:t xml:space="preserve">supporting 24 women to attend the </w:t>
      </w:r>
      <w:r>
        <w:t>Aurora Women in Leadership programme</w:t>
      </w:r>
      <w:r w:rsidR="00CD42A4">
        <w:t xml:space="preserve"> (5 centrally and</w:t>
      </w:r>
      <w:r w:rsidR="00CD3425">
        <w:t xml:space="preserve"> 19 departmentally funded) and </w:t>
      </w:r>
      <w:r w:rsidR="00CD42A4">
        <w:t>launched</w:t>
      </w:r>
      <w:r w:rsidR="00CD3425">
        <w:t xml:space="preserve"> an Aurora Alumni Network.</w:t>
      </w:r>
      <w:r w:rsidR="00CD42A4">
        <w:t xml:space="preserve"> A number of events aimed at celebrating a</w:t>
      </w:r>
      <w:r w:rsidR="00571357">
        <w:t>nd</w:t>
      </w:r>
      <w:r w:rsidR="00CD42A4">
        <w:t xml:space="preserve"> promoting women were also held prior to COVID restrictions including a visit from Hollie Ridings, the Chief Flight Director of NASA (organised by Liverpool Women in Science &amp; Engineering (</w:t>
      </w:r>
      <w:proofErr w:type="spellStart"/>
      <w:r w:rsidR="00CD42A4">
        <w:t>LivWiSE</w:t>
      </w:r>
      <w:proofErr w:type="spellEnd"/>
      <w:r w:rsidR="00CD42A4">
        <w:t>)</w:t>
      </w:r>
      <w:r w:rsidR="00547836">
        <w:t>)</w:t>
      </w:r>
      <w:r w:rsidR="00CD42A4">
        <w:t xml:space="preserve"> who spoke to over 200 high school students and gave a public lecture. </w:t>
      </w:r>
      <w:r w:rsidR="00CD3425">
        <w:t xml:space="preserve"> </w:t>
      </w:r>
    </w:p>
    <w:p w14:paraId="15A25D74" w14:textId="77777777" w:rsidR="00D749F1" w:rsidRDefault="00D749F1" w:rsidP="00467BC2">
      <w:pPr>
        <w:pStyle w:val="Heading1"/>
        <w:numPr>
          <w:ilvl w:val="0"/>
          <w:numId w:val="4"/>
        </w:numPr>
      </w:pPr>
      <w:bookmarkStart w:id="8" w:name="_Toc63432729"/>
      <w:r w:rsidRPr="00D749F1">
        <w:t>Disability and the Physical Estate</w:t>
      </w:r>
      <w:bookmarkEnd w:id="8"/>
    </w:p>
    <w:p w14:paraId="10E7F925" w14:textId="7C5EC024" w:rsidR="00A55AAB" w:rsidRDefault="003A24B2" w:rsidP="00A55AAB">
      <w:r>
        <w:t>Significant activity has taken place during this reporting period to enhance the accessibility of our campus.  A</w:t>
      </w:r>
      <w:r w:rsidR="009D7D1D">
        <w:t>n</w:t>
      </w:r>
      <w:r w:rsidR="00A55AAB">
        <w:t xml:space="preserve"> Inclusive Design Guide has been developed by </w:t>
      </w:r>
      <w:r w:rsidR="009D7D1D">
        <w:t xml:space="preserve">a </w:t>
      </w:r>
      <w:r w:rsidR="00A55AAB">
        <w:t xml:space="preserve">National Register of Access Consultant (NRAC) on behalf of </w:t>
      </w:r>
      <w:r w:rsidR="009D7D1D">
        <w:t xml:space="preserve">the </w:t>
      </w:r>
      <w:r w:rsidR="00A55AAB">
        <w:t xml:space="preserve">University to ensure best practice and consistency on accessibility building standards </w:t>
      </w:r>
      <w:r w:rsidR="009D7D1D">
        <w:t xml:space="preserve">applies to </w:t>
      </w:r>
      <w:r w:rsidR="00A55AAB">
        <w:t>all project work. The guide acts as a single point of reference for designers on University projects. Following a six month consultation period the Inclusive Design Guide was formally issued in January 2020.</w:t>
      </w:r>
    </w:p>
    <w:p w14:paraId="2E4DB74A" w14:textId="33E7B854" w:rsidR="00A55AAB" w:rsidRDefault="00A55AAB" w:rsidP="00A55AAB">
      <w:r w:rsidRPr="00A55AAB">
        <w:t>Major projects in which t</w:t>
      </w:r>
      <w:r>
        <w:t>he design standard is being used</w:t>
      </w:r>
      <w:r w:rsidRPr="00A55AAB">
        <w:t xml:space="preserve"> </w:t>
      </w:r>
      <w:r w:rsidR="009D7D1D">
        <w:t xml:space="preserve">on </w:t>
      </w:r>
      <w:r w:rsidRPr="00A55AAB">
        <w:t xml:space="preserve">are </w:t>
      </w:r>
      <w:r>
        <w:t xml:space="preserve">the Yoko Ono Lennon Centre, the Digital </w:t>
      </w:r>
      <w:r w:rsidR="003A24B2">
        <w:t>I</w:t>
      </w:r>
      <w:r>
        <w:t xml:space="preserve">nnovation </w:t>
      </w:r>
      <w:r w:rsidR="003A24B2">
        <w:t>F</w:t>
      </w:r>
      <w:r>
        <w:t>actory</w:t>
      </w:r>
      <w:r w:rsidRPr="00A55AAB">
        <w:t xml:space="preserve">, </w:t>
      </w:r>
      <w:r>
        <w:t xml:space="preserve">the </w:t>
      </w:r>
      <w:r w:rsidRPr="00A55AAB">
        <w:t>Regius Chair</w:t>
      </w:r>
      <w:r>
        <w:t xml:space="preserve"> project in Chemistry</w:t>
      </w:r>
      <w:r w:rsidRPr="00A55AAB">
        <w:t>,</w:t>
      </w:r>
      <w:r>
        <w:t xml:space="preserve"> and the</w:t>
      </w:r>
      <w:r w:rsidRPr="00A55AAB">
        <w:t xml:space="preserve"> Equine</w:t>
      </w:r>
      <w:r>
        <w:t xml:space="preserve"> Isolation Unit in Leahurst</w:t>
      </w:r>
      <w:r w:rsidRPr="00A55AAB">
        <w:t>.</w:t>
      </w:r>
    </w:p>
    <w:p w14:paraId="767D6A38" w14:textId="77777777" w:rsidR="00A55AAB" w:rsidRDefault="00A55AAB" w:rsidP="00A55AAB">
      <w:r>
        <w:t xml:space="preserve">A new 4 year accessibility improvement </w:t>
      </w:r>
      <w:r w:rsidRPr="00A55AAB">
        <w:t>strategy</w:t>
      </w:r>
      <w:r>
        <w:t xml:space="preserve"> has been adopted which will </w:t>
      </w:r>
      <w:r w:rsidRPr="00A55AAB">
        <w:t>ensure audit</w:t>
      </w:r>
      <w:r>
        <w:t xml:space="preserve">s are completed for </w:t>
      </w:r>
      <w:r w:rsidRPr="00A55AAB">
        <w:t xml:space="preserve">all significant buildings on campus, </w:t>
      </w:r>
      <w:r w:rsidR="009D7D1D">
        <w:t xml:space="preserve">the </w:t>
      </w:r>
      <w:r w:rsidRPr="00A55AAB">
        <w:t xml:space="preserve">development of designs and </w:t>
      </w:r>
      <w:r w:rsidR="009D7D1D">
        <w:t xml:space="preserve">the </w:t>
      </w:r>
      <w:r w:rsidRPr="00A55AAB">
        <w:t xml:space="preserve">delivery of improvement works. </w:t>
      </w:r>
      <w:r>
        <w:t xml:space="preserve">In total </w:t>
      </w:r>
      <w:r w:rsidRPr="00A55AAB">
        <w:t xml:space="preserve">FRCS </w:t>
      </w:r>
      <w:r w:rsidR="009D7D1D">
        <w:t>invested</w:t>
      </w:r>
      <w:r w:rsidRPr="00A55AAB">
        <w:t xml:space="preserve"> £625,000 on accessibility works and consultancy during </w:t>
      </w:r>
      <w:r>
        <w:t>the financial year 2019/20 as part of this plan.</w:t>
      </w:r>
    </w:p>
    <w:p w14:paraId="4460EC77" w14:textId="77777777" w:rsidR="00A55AAB" w:rsidRDefault="00A55AAB" w:rsidP="00A55AAB">
      <w:pPr>
        <w:rPr>
          <w:iCs/>
        </w:rPr>
      </w:pPr>
      <w:r w:rsidRPr="00A55AAB">
        <w:rPr>
          <w:iCs/>
        </w:rPr>
        <w:t xml:space="preserve">In order to deliver the strategy and ensure consistency of standards we tendered an approved suppliers list for access consultants. E3Cube </w:t>
      </w:r>
      <w:r>
        <w:rPr>
          <w:iCs/>
        </w:rPr>
        <w:t xml:space="preserve">was appointed </w:t>
      </w:r>
      <w:r w:rsidRPr="00A55AAB">
        <w:rPr>
          <w:iCs/>
        </w:rPr>
        <w:t xml:space="preserve">to provide audit and project management support for the main Liverpool campus teaching and office buildings; </w:t>
      </w:r>
      <w:r w:rsidRPr="00A55AAB">
        <w:rPr>
          <w:iCs/>
        </w:rPr>
        <w:lastRenderedPageBreak/>
        <w:t>and MAC Consulting to provide audit and project management support for Ness, Leahurst, residential and commercial.</w:t>
      </w:r>
    </w:p>
    <w:p w14:paraId="555C7077" w14:textId="59FE11F3" w:rsidR="009D7D1D" w:rsidRPr="00A55AAB" w:rsidRDefault="009D7D1D" w:rsidP="009D7D1D">
      <w:pPr>
        <w:rPr>
          <w:iCs/>
        </w:rPr>
      </w:pPr>
      <w:r w:rsidRPr="009D7D1D">
        <w:rPr>
          <w:iCs/>
        </w:rPr>
        <w:t>The public realm pedestrian circulation and facilities report and 26 key public</w:t>
      </w:r>
      <w:r w:rsidR="00571357">
        <w:rPr>
          <w:iCs/>
        </w:rPr>
        <w:t>ly</w:t>
      </w:r>
      <w:r w:rsidRPr="009D7D1D">
        <w:rPr>
          <w:iCs/>
        </w:rPr>
        <w:t xml:space="preserve"> accessible and teaching Building Audits had been completed by the end of 2019/20. A schedule of building audits for</w:t>
      </w:r>
      <w:r>
        <w:rPr>
          <w:iCs/>
        </w:rPr>
        <w:t xml:space="preserve"> 2020/21 has been approved and w</w:t>
      </w:r>
      <w:r w:rsidRPr="009D7D1D">
        <w:rPr>
          <w:iCs/>
        </w:rPr>
        <w:t xml:space="preserve">ork has begun on identifying planned improvement works </w:t>
      </w:r>
      <w:r>
        <w:rPr>
          <w:iCs/>
        </w:rPr>
        <w:t>to be completed in 2020-2021.</w:t>
      </w:r>
    </w:p>
    <w:p w14:paraId="565359E6" w14:textId="77777777" w:rsidR="00A55AAB" w:rsidRPr="00A55AAB" w:rsidRDefault="00787961" w:rsidP="00467BC2">
      <w:pPr>
        <w:pStyle w:val="Heading1"/>
        <w:numPr>
          <w:ilvl w:val="0"/>
          <w:numId w:val="4"/>
        </w:numPr>
      </w:pPr>
      <w:bookmarkStart w:id="9" w:name="_Toc63432730"/>
      <w:r w:rsidRPr="00787961">
        <w:t>Researcher Development</w:t>
      </w:r>
      <w:bookmarkEnd w:id="9"/>
    </w:p>
    <w:p w14:paraId="56ACB022" w14:textId="77777777" w:rsidR="003D060C" w:rsidRDefault="003D060C" w:rsidP="003D060C">
      <w:r>
        <w:t>Researcher Development activities (excluding Prosper) are aimed at Post-doctoral Researchers, Early Career Researchers, Mid-Career Researchers (excluding PDs and ECRs, Academic, Teaching and Research Staff, and Research-related Professional Services Staff.</w:t>
      </w:r>
    </w:p>
    <w:p w14:paraId="39EDF18D" w14:textId="77777777" w:rsidR="003D060C" w:rsidRDefault="003D060C" w:rsidP="003D060C">
      <w:r w:rsidRPr="003D060C">
        <w:t>In June 2020, the University retained its HR Excel</w:t>
      </w:r>
      <w:r>
        <w:t xml:space="preserve">lence in Research (HREinR) Award, recognising our commitment to </w:t>
      </w:r>
      <w:r w:rsidRPr="003D060C">
        <w:t>principles of the Concordat to Support the Career Deve</w:t>
      </w:r>
      <w:r>
        <w:t xml:space="preserve">lopment of researchers. Examples of the impact of the Concordat at Liverpool include: </w:t>
      </w:r>
    </w:p>
    <w:p w14:paraId="785888F5" w14:textId="77777777" w:rsidR="003D060C" w:rsidRPr="00DA2652" w:rsidRDefault="003D060C" w:rsidP="003D060C">
      <w:pPr>
        <w:numPr>
          <w:ilvl w:val="0"/>
          <w:numId w:val="3"/>
        </w:numPr>
        <w:spacing w:after="0"/>
      </w:pPr>
      <w:r w:rsidRPr="00DA2652">
        <w:t>An updated </w:t>
      </w:r>
      <w:hyperlink r:id="rId20" w:history="1">
        <w:r w:rsidRPr="00DA2652">
          <w:rPr>
            <w:rStyle w:val="Hyperlink"/>
          </w:rPr>
          <w:t>Statement of Expectations for Principal Investigators (PIs) and Research Staff</w:t>
        </w:r>
      </w:hyperlink>
      <w:r w:rsidRPr="00DA2652">
        <w:t> which ensures a minimum of 10 days pro rata, per year, for researchers to engage with professional development opportunities.</w:t>
      </w:r>
    </w:p>
    <w:p w14:paraId="778B1DEE" w14:textId="0043F797" w:rsidR="003D060C" w:rsidRPr="00DA2652" w:rsidRDefault="003D060C" w:rsidP="003D060C">
      <w:pPr>
        <w:numPr>
          <w:ilvl w:val="0"/>
          <w:numId w:val="3"/>
        </w:numPr>
        <w:spacing w:after="0"/>
      </w:pPr>
      <w:r w:rsidRPr="00DA2652">
        <w:t xml:space="preserve">44% more researchers attended the </w:t>
      </w:r>
      <w:r w:rsidR="003A24B2">
        <w:t>one-</w:t>
      </w:r>
      <w:r w:rsidRPr="00DA2652">
        <w:t>day </w:t>
      </w:r>
      <w:hyperlink r:id="rId21" w:history="1">
        <w:r w:rsidRPr="00DA2652">
          <w:rPr>
            <w:rStyle w:val="Hyperlink"/>
          </w:rPr>
          <w:t>Annual Research Conference</w:t>
        </w:r>
      </w:hyperlink>
      <w:r w:rsidRPr="00DA2652">
        <w:t> in 2019 than in 2018.</w:t>
      </w:r>
    </w:p>
    <w:p w14:paraId="2F082847" w14:textId="77777777" w:rsidR="003D060C" w:rsidRDefault="003D060C" w:rsidP="005D40A2">
      <w:pPr>
        <w:numPr>
          <w:ilvl w:val="0"/>
          <w:numId w:val="3"/>
        </w:numPr>
        <w:spacing w:after="0"/>
      </w:pPr>
      <w:r>
        <w:t xml:space="preserve">As of July 2020, </w:t>
      </w:r>
      <w:r w:rsidRPr="00DA2652">
        <w:t>25% of research staff are currently engaging with the </w:t>
      </w:r>
      <w:hyperlink r:id="rId22" w:history="1">
        <w:r w:rsidRPr="00DA2652">
          <w:rPr>
            <w:rStyle w:val="Hyperlink"/>
          </w:rPr>
          <w:t>University’s mentoring scheme</w:t>
        </w:r>
      </w:hyperlink>
      <w:r w:rsidRPr="00DA2652">
        <w:t>, of which 72% (151/211) are early career researcher mentees, and a growing number of mentors are PIs.</w:t>
      </w:r>
    </w:p>
    <w:p w14:paraId="66FDE629" w14:textId="77777777" w:rsidR="005D40A2" w:rsidRPr="005D40A2" w:rsidRDefault="005D40A2" w:rsidP="005D40A2">
      <w:pPr>
        <w:spacing w:after="0"/>
        <w:ind w:left="720"/>
      </w:pPr>
    </w:p>
    <w:p w14:paraId="35739FD7" w14:textId="2C233CC4" w:rsidR="003D060C" w:rsidRDefault="003D060C" w:rsidP="003D060C">
      <w:r w:rsidRPr="003D060C">
        <w:rPr>
          <w:b/>
          <w:bCs/>
        </w:rPr>
        <w:t xml:space="preserve">Making an </w:t>
      </w:r>
      <w:r w:rsidRPr="003D060C">
        <w:rPr>
          <w:b/>
        </w:rPr>
        <w:t>Impact</w:t>
      </w:r>
      <w:r w:rsidRPr="00296CFF">
        <w:t xml:space="preserve"> is an annual</w:t>
      </w:r>
      <w:r>
        <w:t xml:space="preserve"> series</w:t>
      </w:r>
      <w:r w:rsidR="005D40A2">
        <w:t xml:space="preserve"> of development activities for </w:t>
      </w:r>
      <w:r w:rsidRPr="001A568B">
        <w:t>researchers at all stages of their careers</w:t>
      </w:r>
      <w:r>
        <w:t>.</w:t>
      </w:r>
      <w:r w:rsidR="005D40A2">
        <w:t xml:space="preserve"> In response to COVID-19 the programme was delivered online with a </w:t>
      </w:r>
      <w:hyperlink r:id="rId23" w:history="1">
        <w:r w:rsidR="005D40A2" w:rsidRPr="005D40A2">
          <w:rPr>
            <w:rStyle w:val="Hyperlink"/>
          </w:rPr>
          <w:t>commitment</w:t>
        </w:r>
      </w:hyperlink>
      <w:r w:rsidR="005D40A2">
        <w:t xml:space="preserve"> to accessibility and inclusivity in an online/home working environment.</w:t>
      </w:r>
      <w:r w:rsidRPr="0033531E">
        <w:t xml:space="preserve"> </w:t>
      </w:r>
      <w:r>
        <w:t xml:space="preserve">23 out of the 57 sessions were recorded, not only to create a rich bank of resources but to also increase accessibility for those with internet issues, people unable to </w:t>
      </w:r>
      <w:r w:rsidR="00193561">
        <w:t>attend,</w:t>
      </w:r>
      <w:r>
        <w:t xml:space="preserve"> or those that find it beneficial to revisit the session.  </w:t>
      </w:r>
    </w:p>
    <w:p w14:paraId="2FC7D8FE" w14:textId="07CAE9D3" w:rsidR="003D060C" w:rsidRDefault="003D060C" w:rsidP="003D060C">
      <w:r>
        <w:t>650 individual</w:t>
      </w:r>
      <w:r w:rsidR="00193561">
        <w:t>s</w:t>
      </w:r>
      <w:r>
        <w:t xml:space="preserve"> </w:t>
      </w:r>
      <w:r w:rsidR="005D40A2">
        <w:t xml:space="preserve">participated, </w:t>
      </w:r>
      <w:r>
        <w:t xml:space="preserve"> 22% from Humanities </w:t>
      </w:r>
      <w:r w:rsidR="00A61EDB">
        <w:t xml:space="preserve">and </w:t>
      </w:r>
      <w:r>
        <w:t>Social Sciences (</w:t>
      </w:r>
      <w:r w:rsidR="005D40A2">
        <w:t>F</w:t>
      </w:r>
      <w:r>
        <w:t>HSS), 8% from professional services, 21% from Science and Engineering (</w:t>
      </w:r>
      <w:r w:rsidR="005D40A2">
        <w:t>F</w:t>
      </w:r>
      <w:r>
        <w:t>S</w:t>
      </w:r>
      <w:r w:rsidR="005D40A2">
        <w:t>&amp;</w:t>
      </w:r>
      <w:r>
        <w:t>E), 49% from Health and Life Sciences (</w:t>
      </w:r>
      <w:r w:rsidR="005D40A2">
        <w:t>F</w:t>
      </w:r>
      <w:r>
        <w:t>HLS). In all, participants’ roles were: 26% ATR, 12% ECR, 2% MCR, 13% PGR, 4% PI, 15 % RPS, 26% PD and 2% other.</w:t>
      </w:r>
    </w:p>
    <w:p w14:paraId="0DD9A09C" w14:textId="02F93A78" w:rsidR="00DD641E" w:rsidRDefault="00DD641E" w:rsidP="00DD641E">
      <w:pPr>
        <w:pStyle w:val="Heading2"/>
        <w:numPr>
          <w:ilvl w:val="1"/>
          <w:numId w:val="4"/>
        </w:numPr>
      </w:pPr>
      <w:bookmarkStart w:id="10" w:name="_Toc57023216"/>
      <w:bookmarkStart w:id="11" w:name="_Toc63432731"/>
      <w:r w:rsidRPr="00DD641E">
        <w:t xml:space="preserve">Prosper: Enhancing </w:t>
      </w:r>
      <w:r w:rsidR="00571357">
        <w:t>F</w:t>
      </w:r>
      <w:r w:rsidRPr="00DD641E">
        <w:t xml:space="preserve">irst-time </w:t>
      </w:r>
      <w:r w:rsidR="00571357">
        <w:t>P</w:t>
      </w:r>
      <w:r w:rsidRPr="00DD641E">
        <w:t xml:space="preserve">ostdoctoral </w:t>
      </w:r>
      <w:r w:rsidR="00571357">
        <w:t>C</w:t>
      </w:r>
      <w:r w:rsidRPr="00DD641E">
        <w:t xml:space="preserve">areer </w:t>
      </w:r>
      <w:r w:rsidR="00571357">
        <w:t>D</w:t>
      </w:r>
      <w:r w:rsidRPr="00DD641E">
        <w:t xml:space="preserve">evelopment and </w:t>
      </w:r>
      <w:r w:rsidR="00571357">
        <w:t>S</w:t>
      </w:r>
      <w:r w:rsidRPr="00DD641E">
        <w:t>uccess</w:t>
      </w:r>
      <w:bookmarkEnd w:id="10"/>
      <w:bookmarkEnd w:id="11"/>
    </w:p>
    <w:p w14:paraId="5B9741FC" w14:textId="52F78F40" w:rsidR="00DD641E" w:rsidRDefault="00DD641E" w:rsidP="003D060C">
      <w:r>
        <w:t xml:space="preserve">Work began on the </w:t>
      </w:r>
      <w:hyperlink r:id="rId24" w:history="1">
        <w:r w:rsidRPr="00DD641E">
          <w:rPr>
            <w:rStyle w:val="Hyperlink"/>
          </w:rPr>
          <w:t>Prosper Project</w:t>
        </w:r>
      </w:hyperlink>
      <w:r>
        <w:t xml:space="preserve">, a £4.4m </w:t>
      </w:r>
      <w:r w:rsidRPr="00DD641E">
        <w:t xml:space="preserve">externally funded collaborative research project to enhance </w:t>
      </w:r>
      <w:r>
        <w:t xml:space="preserve">the </w:t>
      </w:r>
      <w:r w:rsidRPr="00DD641E">
        <w:t>ca</w:t>
      </w:r>
      <w:r>
        <w:t>reer development of post-doctoral staff. A key component of the project is to</w:t>
      </w:r>
      <w:r w:rsidRPr="00DD641E">
        <w:t xml:space="preserve"> tackle equality, diversity, and inclusivity issues that usually present barriers to training for postdoctoral researchers.</w:t>
      </w:r>
    </w:p>
    <w:p w14:paraId="20DC529B" w14:textId="77777777" w:rsidR="007F6E99" w:rsidRDefault="007F6E99" w:rsidP="00467BC2">
      <w:pPr>
        <w:pStyle w:val="Heading1"/>
        <w:numPr>
          <w:ilvl w:val="0"/>
          <w:numId w:val="4"/>
        </w:numPr>
      </w:pPr>
      <w:bookmarkStart w:id="12" w:name="_Toc63432732"/>
      <w:r>
        <w:lastRenderedPageBreak/>
        <w:t>Staff Profile</w:t>
      </w:r>
      <w:bookmarkEnd w:id="12"/>
    </w:p>
    <w:p w14:paraId="3F59BEFA" w14:textId="77777777" w:rsidR="00D749F1" w:rsidRDefault="00D749F1" w:rsidP="00467BC2">
      <w:pPr>
        <w:pStyle w:val="Heading2"/>
        <w:numPr>
          <w:ilvl w:val="1"/>
          <w:numId w:val="4"/>
        </w:numPr>
      </w:pPr>
      <w:bookmarkStart w:id="13" w:name="_Toc57023218"/>
      <w:bookmarkStart w:id="14" w:name="_Toc63432733"/>
      <w:r>
        <w:t>Staff Recruitment</w:t>
      </w:r>
      <w:bookmarkEnd w:id="13"/>
      <w:bookmarkEnd w:id="14"/>
    </w:p>
    <w:p w14:paraId="71005F46" w14:textId="75237F2A" w:rsidR="006A1314" w:rsidRDefault="00E0665B">
      <w:r w:rsidRPr="00E0665B">
        <w:t xml:space="preserve">17,084 job applications were received </w:t>
      </w:r>
      <w:r w:rsidR="006A1314">
        <w:t>in 2019/20 via</w:t>
      </w:r>
      <w:r w:rsidRPr="00E0665B">
        <w:t xml:space="preserve"> </w:t>
      </w:r>
      <w:r w:rsidR="006A1314">
        <w:t>eR</w:t>
      </w:r>
      <w:r w:rsidRPr="00E0665B">
        <w:t>ecruitment, a 54% decrease</w:t>
      </w:r>
      <w:r w:rsidR="006A1314">
        <w:t xml:space="preserve"> compared to 2018/19 as a direct </w:t>
      </w:r>
      <w:r w:rsidRPr="00E0665B">
        <w:t>result of a recruitment freeze</w:t>
      </w:r>
      <w:r w:rsidR="006A1314">
        <w:t xml:space="preserve"> in response to COVID and the national lockdown</w:t>
      </w:r>
      <w:r>
        <w:t>.</w:t>
      </w:r>
      <w:r w:rsidR="006A1314">
        <w:t xml:space="preserve"> This makes it difficult to make a year on year comparison due to the disruption to </w:t>
      </w:r>
      <w:r w:rsidR="0042246F">
        <w:t xml:space="preserve">the </w:t>
      </w:r>
      <w:r w:rsidR="006A1314">
        <w:t>no</w:t>
      </w:r>
      <w:r w:rsidR="0042246F">
        <w:t>rmal recruitment pattern and the mix of</w:t>
      </w:r>
      <w:r w:rsidR="006A1314">
        <w:t xml:space="preserve"> jobs advertised. Furthermore a number of posts where frozen due to COVID, and as a result did not complete </w:t>
      </w:r>
      <w:r w:rsidR="00392B9C">
        <w:t>their</w:t>
      </w:r>
      <w:r w:rsidR="006A1314">
        <w:t xml:space="preserve"> recruitment cycle</w:t>
      </w:r>
      <w:r w:rsidR="00392B9C">
        <w:t>s</w:t>
      </w:r>
      <w:r w:rsidR="006A1314">
        <w:t xml:space="preserve">. </w:t>
      </w:r>
    </w:p>
    <w:p w14:paraId="3653F432" w14:textId="4A7E11F4" w:rsidR="006A1314" w:rsidRDefault="006A1314">
      <w:r>
        <w:t xml:space="preserve">However, 52.4% of applications received were from </w:t>
      </w:r>
      <w:r w:rsidRPr="006A1314">
        <w:rPr>
          <w:b/>
        </w:rPr>
        <w:t>women</w:t>
      </w:r>
      <w:r>
        <w:t xml:space="preserve">, representing only a minor change from 53.2% the previous year. The proportion of women invited to an interview dropped slightly from 52.7% to 50.1% but the proportions of posts offered to women actually increased from 52% to 52.5%. </w:t>
      </w:r>
    </w:p>
    <w:p w14:paraId="4DCBEE11" w14:textId="3E4326D6" w:rsidR="006A1314" w:rsidRDefault="00193561">
      <w:r>
        <w:t>5.4% of applications w</w:t>
      </w:r>
      <w:r w:rsidR="006A1314">
        <w:t xml:space="preserve">ere received from </w:t>
      </w:r>
      <w:r w:rsidR="006A1314" w:rsidRPr="00DF55A4">
        <w:rPr>
          <w:b/>
        </w:rPr>
        <w:t xml:space="preserve">disabled </w:t>
      </w:r>
      <w:r w:rsidR="009E539E">
        <w:rPr>
          <w:b/>
        </w:rPr>
        <w:t>candidates</w:t>
      </w:r>
      <w:r w:rsidR="006A1314">
        <w:t>, a decrease from 6.7% in 2018/19</w:t>
      </w:r>
      <w:r w:rsidR="003725BA">
        <w:t xml:space="preserve">. However, the proportion invited to interview increased from 8.1% to 10.4%, most likely a result of </w:t>
      </w:r>
      <w:r w:rsidR="009E539E">
        <w:t xml:space="preserve">a </w:t>
      </w:r>
      <w:r w:rsidR="003725BA">
        <w:t xml:space="preserve">smaller </w:t>
      </w:r>
      <w:r w:rsidR="009E539E">
        <w:t xml:space="preserve">overall </w:t>
      </w:r>
      <w:r w:rsidR="003725BA">
        <w:t xml:space="preserve">applicant pool and </w:t>
      </w:r>
      <w:r w:rsidR="009E539E">
        <w:t xml:space="preserve">the use of the </w:t>
      </w:r>
      <w:r w:rsidR="003725BA">
        <w:t>Guaranteed Interview Scheme (Two Ticks)</w:t>
      </w:r>
      <w:r w:rsidR="009E539E">
        <w:t xml:space="preserve"> by disabled candidates</w:t>
      </w:r>
      <w:r w:rsidR="003725BA">
        <w:t>. The proportion offered the post dropped from 4.9% to 4.6%, although 2018/19 was a peak year.</w:t>
      </w:r>
    </w:p>
    <w:p w14:paraId="31FB5266" w14:textId="2E44C3C5" w:rsidR="00803B4D" w:rsidRPr="007F6E99" w:rsidRDefault="00193561" w:rsidP="007F6E99">
      <w:r>
        <w:t>27% of applications w</w:t>
      </w:r>
      <w:r w:rsidR="003725BA">
        <w:t xml:space="preserve">ere received from </w:t>
      </w:r>
      <w:r w:rsidR="003725BA" w:rsidRPr="009E539E">
        <w:rPr>
          <w:b/>
        </w:rPr>
        <w:t>People of Colour</w:t>
      </w:r>
      <w:r w:rsidR="003725BA">
        <w:t xml:space="preserve">, a significant increase from 22.5% the previous year. This is most likely a result of academic posts being advertised before and during the pandemic which have a higher proportion of </w:t>
      </w:r>
      <w:proofErr w:type="spellStart"/>
      <w:r w:rsidR="003725BA">
        <w:t>PoC</w:t>
      </w:r>
      <w:proofErr w:type="spellEnd"/>
      <w:r>
        <w:t xml:space="preserve"> applicants</w:t>
      </w:r>
      <w:r w:rsidR="003725BA">
        <w:t>, in comparison to other roles (</w:t>
      </w:r>
      <w:r w:rsidR="00392B9C">
        <w:t xml:space="preserve">clerical, manual </w:t>
      </w:r>
      <w:r>
        <w:t>etc.</w:t>
      </w:r>
      <w:r w:rsidR="00392B9C">
        <w:t>)</w:t>
      </w:r>
      <w:r w:rsidR="003725BA">
        <w:t xml:space="preserve"> which for the most part saw a complete freeze.</w:t>
      </w:r>
      <w:r w:rsidR="0042246F" w:rsidRPr="0042246F">
        <w:t xml:space="preserve"> The proportion of </w:t>
      </w:r>
      <w:r w:rsidR="0042246F">
        <w:t>PoC</w:t>
      </w:r>
      <w:r w:rsidR="0042246F" w:rsidRPr="0042246F">
        <w:t xml:space="preserve"> invited to an interview </w:t>
      </w:r>
      <w:r w:rsidR="00803B4D">
        <w:t>increased from 16.3% to 19.2</w:t>
      </w:r>
      <w:r w:rsidR="0042246F" w:rsidRPr="0042246F">
        <w:t xml:space="preserve">% </w:t>
      </w:r>
      <w:r w:rsidR="00803B4D">
        <w:t xml:space="preserve">and the </w:t>
      </w:r>
      <w:r w:rsidR="0042246F" w:rsidRPr="0042246F">
        <w:t>propo</w:t>
      </w:r>
      <w:r w:rsidR="00803B4D">
        <w:t xml:space="preserve">rtions of posts offered to </w:t>
      </w:r>
      <w:proofErr w:type="spellStart"/>
      <w:r w:rsidR="00803B4D">
        <w:t>P</w:t>
      </w:r>
      <w:r w:rsidR="00571357">
        <w:t>o</w:t>
      </w:r>
      <w:r w:rsidR="00803B4D">
        <w:t>C</w:t>
      </w:r>
      <w:proofErr w:type="spellEnd"/>
      <w:r w:rsidR="0042246F" w:rsidRPr="0042246F">
        <w:t xml:space="preserve"> </w:t>
      </w:r>
      <w:r w:rsidR="00803B4D">
        <w:t>increased from 16.5% to 17.1</w:t>
      </w:r>
      <w:r w:rsidR="0042246F" w:rsidRPr="0042246F">
        <w:t>%.</w:t>
      </w:r>
    </w:p>
    <w:p w14:paraId="6EA036FE" w14:textId="77777777" w:rsidR="00392B9C" w:rsidRDefault="00392B9C" w:rsidP="00467BC2">
      <w:pPr>
        <w:pStyle w:val="Heading2"/>
        <w:numPr>
          <w:ilvl w:val="1"/>
          <w:numId w:val="4"/>
        </w:numPr>
      </w:pPr>
      <w:bookmarkStart w:id="15" w:name="_Toc57023219"/>
      <w:bookmarkStart w:id="16" w:name="_Toc63432734"/>
      <w:r>
        <w:t>Senior Leader</w:t>
      </w:r>
      <w:r w:rsidR="007F6E99">
        <w:t>s</w:t>
      </w:r>
      <w:bookmarkEnd w:id="15"/>
      <w:bookmarkEnd w:id="16"/>
    </w:p>
    <w:p w14:paraId="136AA9E8" w14:textId="1DD33063" w:rsidR="007F6E99" w:rsidRDefault="007F6E99" w:rsidP="007F6E99">
      <w:r>
        <w:t xml:space="preserve">40% of the </w:t>
      </w:r>
      <w:r w:rsidR="00193561">
        <w:t>University’s Senior Leaders are f</w:t>
      </w:r>
      <w:r>
        <w:t>emal</w:t>
      </w:r>
      <w:r w:rsidR="00193561">
        <w:t>e, representing little change from</w:t>
      </w:r>
      <w:r>
        <w:t xml:space="preserve"> the previous year, however, there are no known People of Colour in Senior Leadership roles, and only 2% have disclosed a disability. </w:t>
      </w:r>
    </w:p>
    <w:p w14:paraId="154468B5" w14:textId="33051959" w:rsidR="0042246F" w:rsidRPr="0042246F" w:rsidRDefault="0042246F" w:rsidP="007F6E99">
      <w:pPr>
        <w:rPr>
          <w:i/>
        </w:rPr>
      </w:pPr>
      <w:r w:rsidRPr="0042246F">
        <w:rPr>
          <w:i/>
        </w:rPr>
        <w:t>Senior Leaders are positions listed on the University’s Management Structure organogram, with the exception of Level 1 academic department head</w:t>
      </w:r>
      <w:r w:rsidR="00571357">
        <w:rPr>
          <w:i/>
        </w:rPr>
        <w:t>s</w:t>
      </w:r>
      <w:r w:rsidRPr="0042246F">
        <w:rPr>
          <w:i/>
        </w:rPr>
        <w:t>.</w:t>
      </w:r>
      <w:r>
        <w:rPr>
          <w:i/>
        </w:rPr>
        <w:t xml:space="preserve"> See Pyramids of Power infographics in the Diversity &amp; Equality Infographics Report 2019-2020.</w:t>
      </w:r>
    </w:p>
    <w:p w14:paraId="7E04F807" w14:textId="77777777" w:rsidR="00392B9C" w:rsidRDefault="00392B9C" w:rsidP="00467BC2">
      <w:pPr>
        <w:pStyle w:val="Heading2"/>
        <w:numPr>
          <w:ilvl w:val="1"/>
          <w:numId w:val="4"/>
        </w:numPr>
      </w:pPr>
      <w:bookmarkStart w:id="17" w:name="_Toc57023220"/>
      <w:bookmarkStart w:id="18" w:name="_Toc63432735"/>
      <w:r>
        <w:t>Professors</w:t>
      </w:r>
      <w:bookmarkEnd w:id="17"/>
      <w:bookmarkEnd w:id="18"/>
    </w:p>
    <w:p w14:paraId="1FAC2113" w14:textId="77777777" w:rsidR="00392B9C" w:rsidRPr="00392B9C" w:rsidRDefault="00392B9C" w:rsidP="00392B9C">
      <w:r>
        <w:t xml:space="preserve">Progress continues to be made on diversifying the Professoriate. Based on HESA data, </w:t>
      </w:r>
      <w:r w:rsidR="007F6E99">
        <w:t>in the 10 year period from 2</w:t>
      </w:r>
      <w:r>
        <w:t xml:space="preserve">009/10 and 2018/19 (the most recent published year), the University has increased the </w:t>
      </w:r>
      <w:r w:rsidR="007F6E99">
        <w:t>proportion</w:t>
      </w:r>
      <w:r>
        <w:t xml:space="preserve"> of Female Professor</w:t>
      </w:r>
      <w:r w:rsidR="007F6E99">
        <w:t>s from 12.6% to 31.3%. Racial diversity has not progressed as significantly, though the proportion of People of Colour is now 9% (all), and 9.1% (UK Dom) respectively.</w:t>
      </w:r>
    </w:p>
    <w:p w14:paraId="297DAB8C" w14:textId="77777777" w:rsidR="00D749F1" w:rsidRDefault="00D749F1" w:rsidP="00467BC2">
      <w:pPr>
        <w:pStyle w:val="Heading2"/>
        <w:numPr>
          <w:ilvl w:val="1"/>
          <w:numId w:val="4"/>
        </w:numPr>
      </w:pPr>
      <w:bookmarkStart w:id="19" w:name="_Toc57023221"/>
      <w:bookmarkStart w:id="20" w:name="_Toc63432736"/>
      <w:r>
        <w:lastRenderedPageBreak/>
        <w:t>Academic Promotion</w:t>
      </w:r>
      <w:bookmarkEnd w:id="19"/>
      <w:bookmarkEnd w:id="20"/>
    </w:p>
    <w:p w14:paraId="552AE4F0" w14:textId="2FFF1424" w:rsidR="00D749F1" w:rsidRDefault="009E539E">
      <w:r w:rsidRPr="009E539E">
        <w:t xml:space="preserve">In 2019, 48% of applicants for promotion to </w:t>
      </w:r>
      <w:r w:rsidRPr="009E539E">
        <w:rPr>
          <w:b/>
        </w:rPr>
        <w:t>Senior Lecture</w:t>
      </w:r>
      <w:r w:rsidR="00786389">
        <w:rPr>
          <w:b/>
        </w:rPr>
        <w:t>r</w:t>
      </w:r>
      <w:r w:rsidRPr="009E539E">
        <w:t xml:space="preserve"> </w:t>
      </w:r>
      <w:r w:rsidR="00786389">
        <w:t>were</w:t>
      </w:r>
      <w:r w:rsidRPr="009E539E">
        <w:t xml:space="preserve"> from women, a slight decrease from 49% in 2018</w:t>
      </w:r>
      <w:r>
        <w:t xml:space="preserve">. However, women accounted for 53% of successful applicants, an increase from 45% the previous year. </w:t>
      </w:r>
    </w:p>
    <w:p w14:paraId="699DA52D" w14:textId="4BB723CA" w:rsidR="009E539E" w:rsidRDefault="009E539E">
      <w:r>
        <w:t xml:space="preserve">35% of applicants for promotion to </w:t>
      </w:r>
      <w:r w:rsidRPr="009E539E">
        <w:rPr>
          <w:b/>
        </w:rPr>
        <w:t>Reader</w:t>
      </w:r>
      <w:r>
        <w:t xml:space="preserve"> were from women, a drop from 44% the previous year. 36% of successful promotions were from women, compared to 52% the previous year. Howe</w:t>
      </w:r>
      <w:r w:rsidR="00193561">
        <w:t>ver, 2018 was an outlier year w</w:t>
      </w:r>
      <w:r w:rsidR="00A61EDB">
        <w:t>h</w:t>
      </w:r>
      <w:r>
        <w:t>ere a large pro</w:t>
      </w:r>
      <w:r w:rsidR="005E396E">
        <w:t>portion</w:t>
      </w:r>
      <w:r>
        <w:t xml:space="preserve"> of women were ready to apply for promotion.</w:t>
      </w:r>
    </w:p>
    <w:p w14:paraId="5FD68EF4" w14:textId="2CF8EC3C" w:rsidR="009E539E" w:rsidRPr="009E539E" w:rsidRDefault="009E539E">
      <w:r>
        <w:t xml:space="preserve">Similarly there was a decrease in the proportion of women applying for promotion to </w:t>
      </w:r>
      <w:r w:rsidRPr="009E539E">
        <w:rPr>
          <w:b/>
        </w:rPr>
        <w:t>Professor</w:t>
      </w:r>
      <w:r>
        <w:t xml:space="preserve">, decreasing from 42% in 2018 to 31% in 2019. However, a slightly higher proportion of successful candidates were women at 33%. </w:t>
      </w:r>
    </w:p>
    <w:p w14:paraId="45371E27" w14:textId="5C9C9386" w:rsidR="00D749F1" w:rsidRPr="00D749F1" w:rsidRDefault="00D749F1" w:rsidP="00467BC2">
      <w:pPr>
        <w:pStyle w:val="Heading1"/>
        <w:numPr>
          <w:ilvl w:val="0"/>
          <w:numId w:val="4"/>
        </w:numPr>
      </w:pPr>
      <w:bookmarkStart w:id="21" w:name="_Toc63432737"/>
      <w:r w:rsidRPr="00D749F1">
        <w:t xml:space="preserve">Staff </w:t>
      </w:r>
      <w:r w:rsidR="005E396E">
        <w:t>Engagement</w:t>
      </w:r>
      <w:bookmarkEnd w:id="21"/>
    </w:p>
    <w:p w14:paraId="6E8C8D24" w14:textId="12CF9779" w:rsidR="00CE7028" w:rsidRPr="00CE7028" w:rsidRDefault="00CE7028">
      <w:r w:rsidRPr="00CE7028">
        <w:t>The 4</w:t>
      </w:r>
      <w:r w:rsidRPr="00CE7028">
        <w:rPr>
          <w:vertAlign w:val="superscript"/>
        </w:rPr>
        <w:t>th</w:t>
      </w:r>
      <w:r w:rsidRPr="00CE7028">
        <w:t xml:space="preserve"> triennial staff </w:t>
      </w:r>
      <w:r w:rsidR="005E396E">
        <w:t>engagement</w:t>
      </w:r>
      <w:r w:rsidRPr="00CE7028">
        <w:t xml:space="preserve"> survey took place in November-December 2019 providing an opportunity to capture the opinions of members of staff about thei</w:t>
      </w:r>
      <w:r w:rsidR="00193561">
        <w:t>r experience of working at the U</w:t>
      </w:r>
      <w:r w:rsidRPr="00CE7028">
        <w:t xml:space="preserve">niversity, including their attitudes relating to equality and diversity. </w:t>
      </w:r>
    </w:p>
    <w:p w14:paraId="210F8927" w14:textId="0594FE09" w:rsidR="00CE7028" w:rsidRDefault="00CE7028">
      <w:r w:rsidRPr="00CE7028">
        <w:t>Three specific questions were as</w:t>
      </w:r>
      <w:r>
        <w:t xml:space="preserve">ked in the survey to gauge staff </w:t>
      </w:r>
      <w:r w:rsidR="00193561">
        <w:t>members</w:t>
      </w:r>
      <w:r w:rsidR="00A61EDB">
        <w:t>’</w:t>
      </w:r>
      <w:r w:rsidR="00193561">
        <w:t xml:space="preserve"> opinion on the U</w:t>
      </w:r>
      <w:r w:rsidRPr="00CE7028">
        <w:t xml:space="preserve">niversity’s commitment to diversity and equality, to ascertain who had experienced bullying and harassment, and whether staff would be willing to report bulling and harassment if it has happened to them. </w:t>
      </w:r>
    </w:p>
    <w:p w14:paraId="6C0D665F" w14:textId="5951396A" w:rsidR="00CE7028" w:rsidRDefault="00CE7028">
      <w:r>
        <w:t xml:space="preserve">Overall staff were less likely to think that the </w:t>
      </w:r>
      <w:r w:rsidR="005E396E">
        <w:t>U</w:t>
      </w:r>
      <w:r>
        <w:t xml:space="preserve">niversity was committed to equality for all with negative (disagree/tend to disagree) responses increasing </w:t>
      </w:r>
      <w:r w:rsidR="00E0665B">
        <w:t>from 18% (2016) to 21% (2019).</w:t>
      </w:r>
    </w:p>
    <w:p w14:paraId="591D361C" w14:textId="625F79F1" w:rsidR="00CE7028" w:rsidRDefault="00E0665B">
      <w:r>
        <w:t>More worryingly, 1</w:t>
      </w:r>
      <w:r w:rsidR="00803B4D">
        <w:t>5</w:t>
      </w:r>
      <w:r>
        <w:t>% of responses Agreed/Tended to Agree that they had experienced bullying and harassment within the previous 12 months. In the 2016 survey, the response option was Yes/No, so not exactly comparable, however, in 2016 only 4% stated that they had been bullied or harassed.</w:t>
      </w:r>
      <w:r w:rsidR="00803B4D">
        <w:t xml:space="preserve"> See section 3 for further details on bullying and harassment.</w:t>
      </w:r>
      <w:r>
        <w:t xml:space="preserve"> </w:t>
      </w:r>
    </w:p>
    <w:p w14:paraId="50B1A3B7" w14:textId="77777777" w:rsidR="001728CD" w:rsidRDefault="001728CD" w:rsidP="00467BC2">
      <w:pPr>
        <w:pStyle w:val="Heading1"/>
        <w:numPr>
          <w:ilvl w:val="0"/>
          <w:numId w:val="4"/>
        </w:numPr>
      </w:pPr>
      <w:bookmarkStart w:id="22" w:name="_Toc63432738"/>
      <w:r>
        <w:t>Students</w:t>
      </w:r>
      <w:bookmarkEnd w:id="22"/>
    </w:p>
    <w:p w14:paraId="49E291A0" w14:textId="77777777" w:rsidR="005354DE" w:rsidRDefault="005354DE" w:rsidP="00467BC2">
      <w:pPr>
        <w:pStyle w:val="Heading2"/>
        <w:numPr>
          <w:ilvl w:val="1"/>
          <w:numId w:val="4"/>
        </w:numPr>
      </w:pPr>
      <w:bookmarkStart w:id="23" w:name="_Toc63432739"/>
      <w:r>
        <w:t>Access &amp; Participation Summary</w:t>
      </w:r>
      <w:bookmarkEnd w:id="23"/>
    </w:p>
    <w:p w14:paraId="13F9816B" w14:textId="77777777" w:rsidR="005354DE" w:rsidRDefault="005354DE" w:rsidP="005354DE">
      <w:r>
        <w:t>While recognising the deeply challenging educational context for schools and colleges caused by COVID, the University has continued to deliver important outreach and engagement activities for under-represented student groups.</w:t>
      </w:r>
    </w:p>
    <w:p w14:paraId="65E694A0" w14:textId="0C68B341" w:rsidR="005354DE" w:rsidRDefault="005354DE" w:rsidP="005354DE">
      <w:r>
        <w:t>Using digital platforms such as zoom (and schools</w:t>
      </w:r>
      <w:r w:rsidR="003318A2">
        <w:t>’</w:t>
      </w:r>
      <w:r>
        <w:t xml:space="preserve"> own virtual learning environments e.g. google classrooms), projects such as Fast Trackers, Liverpool Scholars and our Looked After Children mentoring have all been able to be adapted to operate digitally</w:t>
      </w:r>
      <w:r w:rsidR="00A52289">
        <w:t>.</w:t>
      </w:r>
    </w:p>
    <w:p w14:paraId="59E0A526" w14:textId="77777777" w:rsidR="005354DE" w:rsidRDefault="005354DE" w:rsidP="005354DE">
      <w:r>
        <w:t xml:space="preserve">2020 was a record year of entry for Liverpool Scholars supported access students coming to Liverpool, with 123 joining us (up from 92 in E2019), including increasing numbers through </w:t>
      </w:r>
      <w:r>
        <w:lastRenderedPageBreak/>
        <w:t>confirmation and clearing. Through the Realising Opportunities Partnership we welcomed 34 students, an increase from 22 in E2019. Likewise, we recorded an increase in Care Experience student entry for 2020 (to 39, from 35).</w:t>
      </w:r>
    </w:p>
    <w:p w14:paraId="1A2C99A5" w14:textId="27B18EDE" w:rsidR="005354DE" w:rsidRDefault="005354DE" w:rsidP="005354DE">
      <w:r>
        <w:t>The Launchpad to Liverpool orientation module on CANVAS was also delivered successfully, with circa 2,500 students engaging with the module, which aimed to best prepare students from all backgrounds for HE study and included both generic, KnowHow and subject specific orientation content</w:t>
      </w:r>
      <w:r w:rsidR="00A52289">
        <w:t>.</w:t>
      </w:r>
    </w:p>
    <w:p w14:paraId="3C0F0591" w14:textId="77777777" w:rsidR="005354DE" w:rsidRDefault="005354DE" w:rsidP="005354DE">
      <w:r>
        <w:t>In September 2020 the ‘UP Programme’ will be introduced which will support equality and diversity outcomes related to careers and employability and will be promoted to students by the Careers and Employability service on an opt in self-selecting basis through Liverpool Welcome activities, the Guild and Faculty links.</w:t>
      </w:r>
    </w:p>
    <w:p w14:paraId="27554F1D" w14:textId="77777777" w:rsidR="00261424" w:rsidRPr="00261424" w:rsidRDefault="00261424" w:rsidP="00467BC2">
      <w:pPr>
        <w:pStyle w:val="Heading2"/>
        <w:numPr>
          <w:ilvl w:val="1"/>
          <w:numId w:val="4"/>
        </w:numPr>
      </w:pPr>
      <w:bookmarkStart w:id="24" w:name="_Toc63432740"/>
      <w:r>
        <w:t>Student Recruitment</w:t>
      </w:r>
      <w:r w:rsidR="00A409A7">
        <w:t xml:space="preserve"> (UK Dom)</w:t>
      </w:r>
      <w:bookmarkEnd w:id="24"/>
    </w:p>
    <w:p w14:paraId="0EC8D14C" w14:textId="77777777" w:rsidR="00A409A7" w:rsidRPr="00A409A7" w:rsidRDefault="00A409A7" w:rsidP="00A409A7">
      <w:pPr>
        <w:rPr>
          <w:b/>
        </w:rPr>
      </w:pPr>
      <w:r w:rsidRPr="00A409A7">
        <w:rPr>
          <w:b/>
        </w:rPr>
        <w:t>Age</w:t>
      </w:r>
      <w:r>
        <w:rPr>
          <w:b/>
        </w:rPr>
        <w:t xml:space="preserve">: </w:t>
      </w:r>
      <w:r>
        <w:t>88% of students entering in 2019/20 were under 21, the highest percentage recorded over the past 5 years, although the overall student count in this area decreased. There was a decrease in the percentage of mature male students more so than female students in this category.</w:t>
      </w:r>
    </w:p>
    <w:p w14:paraId="49120835" w14:textId="77777777" w:rsidR="00A409A7" w:rsidRPr="00A409A7" w:rsidRDefault="00A409A7" w:rsidP="00A409A7">
      <w:pPr>
        <w:rPr>
          <w:b/>
        </w:rPr>
      </w:pPr>
      <w:r w:rsidRPr="00A409A7">
        <w:rPr>
          <w:b/>
        </w:rPr>
        <w:t>Disability</w:t>
      </w:r>
      <w:r>
        <w:rPr>
          <w:b/>
        </w:rPr>
        <w:t xml:space="preserve">: </w:t>
      </w:r>
      <w:r>
        <w:t>For the second year, the percentage of students registering a disability remained at 10%, although the percentage registering two or more impairments increased by 9% year on year, from 59 to 118 students.</w:t>
      </w:r>
    </w:p>
    <w:p w14:paraId="53D1AA8D" w14:textId="734C6777" w:rsidR="00A409A7" w:rsidRPr="00A409A7" w:rsidRDefault="00A409A7" w:rsidP="00A409A7">
      <w:pPr>
        <w:rPr>
          <w:b/>
        </w:rPr>
      </w:pPr>
      <w:r w:rsidRPr="00A409A7">
        <w:rPr>
          <w:b/>
        </w:rPr>
        <w:t>Ethnicity</w:t>
      </w:r>
      <w:r>
        <w:rPr>
          <w:b/>
        </w:rPr>
        <w:t xml:space="preserve">: </w:t>
      </w:r>
      <w:r>
        <w:t>The number and percentage of applications received across all ethnicities increased, with the greatest increase across the mixed ethnicity grouping. The percentage of those applications resulting in offers made remained static for all categories except for Black students</w:t>
      </w:r>
      <w:r w:rsidR="00EB45D5">
        <w:t xml:space="preserve"> (dropping from 65% in 2018/19 to 61% in 2019/20)</w:t>
      </w:r>
      <w:r>
        <w:t xml:space="preserve">, </w:t>
      </w:r>
      <w:r w:rsidR="00EB45D5">
        <w:t xml:space="preserve">and the offers accepted by Black applicants dropped from 27% (2018/19) to 22% (2019/20), although a higher proportion resulted in registrations (54% v 60%). </w:t>
      </w:r>
    </w:p>
    <w:p w14:paraId="2D88C023" w14:textId="77777777" w:rsidR="00A409A7" w:rsidRDefault="00A409A7" w:rsidP="00A409A7">
      <w:r>
        <w:t>The percentage of white students increased to 56%, although this increase was slight (from 55%) and still equates to a reduction compared to the previous three year average.</w:t>
      </w:r>
    </w:p>
    <w:p w14:paraId="723FBB2E" w14:textId="77777777" w:rsidR="00A409A7" w:rsidRDefault="00A409A7" w:rsidP="00A409A7">
      <w:r w:rsidRPr="00A409A7">
        <w:t xml:space="preserve">The percentage of students not registering or refusing to provide an ethnicity increased to 19% this year, up to a five year high from 10% last year.  </w:t>
      </w:r>
    </w:p>
    <w:p w14:paraId="11FCC3F5" w14:textId="1F171C8F" w:rsidR="00261424" w:rsidRPr="00A409A7" w:rsidRDefault="00A409A7" w:rsidP="00A409A7">
      <w:pPr>
        <w:rPr>
          <w:b/>
        </w:rPr>
      </w:pPr>
      <w:r w:rsidRPr="00A409A7">
        <w:rPr>
          <w:b/>
        </w:rPr>
        <w:t>Gender</w:t>
      </w:r>
      <w:r>
        <w:rPr>
          <w:b/>
        </w:rPr>
        <w:t xml:space="preserve">: </w:t>
      </w:r>
      <w:r w:rsidRPr="00A409A7">
        <w:t xml:space="preserve">The percentage of applications from female students increased marginally year on year, from a 55.9% majority to 56.2%.  </w:t>
      </w:r>
      <w:r>
        <w:t xml:space="preserve">The percentage of offers made remained static for both genders. The conversion of offers made to accepted reduced slightly for </w:t>
      </w:r>
      <w:r w:rsidR="00193561">
        <w:t>males</w:t>
      </w:r>
      <w:r>
        <w:t xml:space="preserve"> year on year, although the percentage of applications resulting in registrations increased for both males and females across the two years.</w:t>
      </w:r>
    </w:p>
    <w:p w14:paraId="28F64561" w14:textId="77777777" w:rsidR="00FD1A75" w:rsidRDefault="00A409A7" w:rsidP="00A409A7">
      <w:r w:rsidRPr="00A409A7">
        <w:t>The percentage of female students has remained relatively static over</w:t>
      </w:r>
      <w:r>
        <w:t xml:space="preserve"> the past 5 years, around 55%. </w:t>
      </w:r>
    </w:p>
    <w:p w14:paraId="0AD056A2" w14:textId="77777777" w:rsidR="00FD1A75" w:rsidRDefault="00FD1A75">
      <w:r>
        <w:br w:type="page"/>
      </w:r>
    </w:p>
    <w:p w14:paraId="5DC97E50" w14:textId="15FFBD80" w:rsidR="00FC7B43" w:rsidRDefault="00FD1A75" w:rsidP="00FC7B43">
      <w:pPr>
        <w:spacing w:after="0" w:line="240" w:lineRule="auto"/>
        <w:contextualSpacing/>
        <w:jc w:val="center"/>
        <w:rPr>
          <w:rFonts w:asciiTheme="majorHAnsi" w:eastAsiaTheme="majorEastAsia" w:hAnsiTheme="majorHAnsi" w:cstheme="majorBidi"/>
          <w:spacing w:val="-10"/>
          <w:kern w:val="28"/>
          <w:sz w:val="56"/>
          <w:szCs w:val="56"/>
        </w:rPr>
      </w:pPr>
      <w:r w:rsidRPr="00FD1A75">
        <w:rPr>
          <w:rFonts w:asciiTheme="majorHAnsi" w:eastAsiaTheme="majorEastAsia" w:hAnsiTheme="majorHAnsi" w:cstheme="majorBidi"/>
          <w:spacing w:val="-10"/>
          <w:kern w:val="28"/>
          <w:sz w:val="56"/>
          <w:szCs w:val="56"/>
        </w:rPr>
        <w:lastRenderedPageBreak/>
        <w:t>Key Performance Indicators</w:t>
      </w:r>
    </w:p>
    <w:p w14:paraId="6E05E58B" w14:textId="77777777" w:rsidR="00FD1A75" w:rsidRDefault="00FD1A75" w:rsidP="00467BC2">
      <w:pPr>
        <w:pStyle w:val="Heading1"/>
        <w:numPr>
          <w:ilvl w:val="0"/>
          <w:numId w:val="4"/>
        </w:numPr>
      </w:pPr>
      <w:bookmarkStart w:id="25" w:name="_Toc63432741"/>
      <w:r w:rsidRPr="001728CD">
        <w:t>Staff Key Performance Indicators</w:t>
      </w:r>
      <w:bookmarkEnd w:id="25"/>
    </w:p>
    <w:p w14:paraId="75BC9DDC" w14:textId="1B6C1EFD" w:rsidR="00850EF9" w:rsidRDefault="00601782" w:rsidP="00850EF9">
      <w:pPr>
        <w:rPr>
          <w:i/>
        </w:rPr>
      </w:pPr>
      <w:r>
        <w:rPr>
          <w:i/>
        </w:rPr>
        <w:t>Data reported below relates to the following staff equality objectives:</w:t>
      </w:r>
    </w:p>
    <w:p w14:paraId="7C191F77" w14:textId="6F3BD4D3" w:rsidR="00850EF9" w:rsidRPr="00601782" w:rsidRDefault="00850EF9" w:rsidP="00601782">
      <w:pPr>
        <w:pStyle w:val="ListParagraph"/>
        <w:numPr>
          <w:ilvl w:val="0"/>
          <w:numId w:val="24"/>
        </w:numPr>
        <w:rPr>
          <w:i/>
        </w:rPr>
      </w:pPr>
      <w:r w:rsidRPr="00601782">
        <w:rPr>
          <w:i/>
        </w:rPr>
        <w:t>Make significant and sustained improvements in the recruitment (application and appointment) rates for the most underrepr</w:t>
      </w:r>
      <w:r w:rsidR="00601782">
        <w:rPr>
          <w:i/>
        </w:rPr>
        <w:t>esented groups in the workforce</w:t>
      </w:r>
      <w:r w:rsidRPr="00601782">
        <w:rPr>
          <w:i/>
        </w:rPr>
        <w:t>.</w:t>
      </w:r>
    </w:p>
    <w:p w14:paraId="2A5DD1B8" w14:textId="14A6C2E0" w:rsidR="00850EF9" w:rsidRPr="00601782" w:rsidRDefault="00850EF9" w:rsidP="00601782">
      <w:pPr>
        <w:pStyle w:val="ListParagraph"/>
        <w:numPr>
          <w:ilvl w:val="0"/>
          <w:numId w:val="24"/>
        </w:numPr>
        <w:rPr>
          <w:i/>
        </w:rPr>
      </w:pPr>
      <w:r w:rsidRPr="00601782">
        <w:rPr>
          <w:i/>
        </w:rPr>
        <w:t>Make sustained improvements in the retention and progression rates of underrepr</w:t>
      </w:r>
      <w:r w:rsidR="00601782">
        <w:rPr>
          <w:i/>
        </w:rPr>
        <w:t>esented groups in the workforce</w:t>
      </w:r>
      <w:r w:rsidRPr="00601782">
        <w:rPr>
          <w:i/>
        </w:rPr>
        <w:t>.</w:t>
      </w:r>
    </w:p>
    <w:p w14:paraId="7344004D" w14:textId="77777777" w:rsidR="00FD1A75" w:rsidRDefault="00FD1A75" w:rsidP="00467BC2">
      <w:pPr>
        <w:pStyle w:val="Heading2"/>
        <w:numPr>
          <w:ilvl w:val="1"/>
          <w:numId w:val="4"/>
        </w:numPr>
      </w:pPr>
      <w:bookmarkStart w:id="26" w:name="_Toc55202780"/>
      <w:bookmarkStart w:id="27" w:name="_Toc55219252"/>
      <w:bookmarkStart w:id="28" w:name="_Toc55573529"/>
      <w:bookmarkStart w:id="29" w:name="_Toc57023227"/>
      <w:bookmarkStart w:id="30" w:name="_Toc63432742"/>
      <w:r w:rsidRPr="00FD1A75">
        <w:t>Staff Recruitment</w:t>
      </w:r>
      <w:bookmarkEnd w:id="26"/>
      <w:bookmarkEnd w:id="27"/>
      <w:bookmarkEnd w:id="28"/>
      <w:bookmarkEnd w:id="29"/>
      <w:bookmarkEnd w:id="30"/>
      <w:r w:rsidRPr="00FD1A75">
        <w:t xml:space="preserve"> </w:t>
      </w:r>
    </w:p>
    <w:p w14:paraId="12CC7F17" w14:textId="77777777" w:rsidR="00FD1A75" w:rsidRPr="001728CD" w:rsidRDefault="00FD1A75" w:rsidP="00467BC2">
      <w:pPr>
        <w:pStyle w:val="ListParagraph"/>
        <w:keepNext/>
        <w:keepLines/>
        <w:numPr>
          <w:ilvl w:val="2"/>
          <w:numId w:val="4"/>
        </w:numPr>
        <w:spacing w:before="120" w:after="120"/>
        <w:outlineLvl w:val="2"/>
        <w:rPr>
          <w:rFonts w:asciiTheme="majorHAnsi" w:eastAsiaTheme="majorEastAsia" w:hAnsiTheme="majorHAnsi" w:cstheme="majorBidi"/>
          <w:szCs w:val="24"/>
          <w:u w:val="single"/>
        </w:rPr>
      </w:pPr>
      <w:bookmarkStart w:id="31" w:name="_Toc55202781"/>
      <w:bookmarkStart w:id="32" w:name="_Toc55219253"/>
      <w:bookmarkStart w:id="33" w:name="_Toc55241648"/>
      <w:bookmarkStart w:id="34" w:name="_Toc55573530"/>
      <w:bookmarkStart w:id="35" w:name="_Toc57023228"/>
      <w:bookmarkStart w:id="36" w:name="_Toc63432743"/>
      <w:r w:rsidRPr="001728CD">
        <w:rPr>
          <w:rFonts w:asciiTheme="majorHAnsi" w:eastAsiaTheme="majorEastAsia" w:hAnsiTheme="majorHAnsi" w:cstheme="majorBidi"/>
          <w:szCs w:val="24"/>
          <w:u w:val="single"/>
        </w:rPr>
        <w:t>% Job Applications received</w:t>
      </w:r>
      <w:bookmarkEnd w:id="31"/>
      <w:bookmarkEnd w:id="32"/>
      <w:bookmarkEnd w:id="33"/>
      <w:bookmarkEnd w:id="34"/>
      <w:bookmarkEnd w:id="35"/>
      <w:bookmarkEnd w:id="36"/>
    </w:p>
    <w:tbl>
      <w:tblPr>
        <w:tblStyle w:val="TableGrid"/>
        <w:tblW w:w="5000" w:type="pct"/>
        <w:tblLook w:val="04A0" w:firstRow="1" w:lastRow="0" w:firstColumn="1" w:lastColumn="0" w:noHBand="0" w:noVBand="1"/>
      </w:tblPr>
      <w:tblGrid>
        <w:gridCol w:w="3842"/>
        <w:gridCol w:w="1516"/>
        <w:gridCol w:w="1516"/>
        <w:gridCol w:w="1516"/>
        <w:gridCol w:w="626"/>
      </w:tblGrid>
      <w:tr w:rsidR="0038061C" w:rsidRPr="00FD1A75" w14:paraId="7D4915E1" w14:textId="26750F88" w:rsidTr="0038061C">
        <w:tc>
          <w:tcPr>
            <w:tcW w:w="2130" w:type="pct"/>
            <w:shd w:val="clear" w:color="auto" w:fill="9CC2E5" w:themeFill="accent1" w:themeFillTint="99"/>
          </w:tcPr>
          <w:p w14:paraId="4A34453C" w14:textId="77777777" w:rsidR="0038061C" w:rsidRPr="00FD1A75" w:rsidRDefault="0038061C" w:rsidP="00FD1A75">
            <w:pPr>
              <w:rPr>
                <w:b/>
              </w:rPr>
            </w:pPr>
          </w:p>
        </w:tc>
        <w:tc>
          <w:tcPr>
            <w:tcW w:w="841" w:type="pct"/>
            <w:shd w:val="clear" w:color="auto" w:fill="9CC2E5" w:themeFill="accent1" w:themeFillTint="99"/>
          </w:tcPr>
          <w:p w14:paraId="5250EB42" w14:textId="77777777" w:rsidR="0038061C" w:rsidRPr="00FD1A75" w:rsidRDefault="0038061C" w:rsidP="00FD1A75">
            <w:pPr>
              <w:jc w:val="center"/>
              <w:rPr>
                <w:b/>
              </w:rPr>
            </w:pPr>
            <w:r w:rsidRPr="00FD1A75">
              <w:rPr>
                <w:b/>
              </w:rPr>
              <w:t>2017/18</w:t>
            </w:r>
          </w:p>
        </w:tc>
        <w:tc>
          <w:tcPr>
            <w:tcW w:w="841" w:type="pct"/>
            <w:shd w:val="clear" w:color="auto" w:fill="9CC2E5" w:themeFill="accent1" w:themeFillTint="99"/>
          </w:tcPr>
          <w:p w14:paraId="055E225D" w14:textId="77777777" w:rsidR="0038061C" w:rsidRPr="00FD1A75" w:rsidRDefault="0038061C" w:rsidP="00FD1A75">
            <w:pPr>
              <w:jc w:val="center"/>
              <w:rPr>
                <w:b/>
              </w:rPr>
            </w:pPr>
            <w:r w:rsidRPr="00FD1A75">
              <w:rPr>
                <w:b/>
              </w:rPr>
              <w:t>2018/19</w:t>
            </w:r>
          </w:p>
        </w:tc>
        <w:tc>
          <w:tcPr>
            <w:tcW w:w="841" w:type="pct"/>
            <w:shd w:val="clear" w:color="auto" w:fill="9CC2E5" w:themeFill="accent1" w:themeFillTint="99"/>
          </w:tcPr>
          <w:p w14:paraId="07590608" w14:textId="77777777" w:rsidR="0038061C" w:rsidRPr="00FD1A75" w:rsidRDefault="0038061C" w:rsidP="00FD1A75">
            <w:pPr>
              <w:jc w:val="center"/>
              <w:rPr>
                <w:b/>
              </w:rPr>
            </w:pPr>
            <w:r w:rsidRPr="00FD1A75">
              <w:rPr>
                <w:b/>
              </w:rPr>
              <w:t>2019/20</w:t>
            </w:r>
          </w:p>
        </w:tc>
        <w:tc>
          <w:tcPr>
            <w:tcW w:w="348" w:type="pct"/>
            <w:shd w:val="clear" w:color="auto" w:fill="9CC2E5" w:themeFill="accent1" w:themeFillTint="99"/>
          </w:tcPr>
          <w:p w14:paraId="73E1A1CE" w14:textId="77777777" w:rsidR="0038061C" w:rsidRPr="00066C43" w:rsidRDefault="0038061C" w:rsidP="00FD1A75">
            <w:pPr>
              <w:jc w:val="center"/>
            </w:pPr>
          </w:p>
        </w:tc>
      </w:tr>
      <w:tr w:rsidR="0038061C" w:rsidRPr="00FD1A75" w14:paraId="5E741028" w14:textId="32094E07" w:rsidTr="0038061C">
        <w:tc>
          <w:tcPr>
            <w:tcW w:w="2130" w:type="pct"/>
          </w:tcPr>
          <w:p w14:paraId="77D942AF" w14:textId="77777777" w:rsidR="0038061C" w:rsidRPr="00FD1A75" w:rsidRDefault="0038061C" w:rsidP="00FD1A75">
            <w:r w:rsidRPr="00FD1A75">
              <w:t>% Disabled</w:t>
            </w:r>
          </w:p>
        </w:tc>
        <w:tc>
          <w:tcPr>
            <w:tcW w:w="841" w:type="pct"/>
          </w:tcPr>
          <w:p w14:paraId="64E02DC8" w14:textId="77777777" w:rsidR="0038061C" w:rsidRPr="00FD1A75" w:rsidRDefault="0038061C" w:rsidP="00FD1A75">
            <w:pPr>
              <w:jc w:val="center"/>
            </w:pPr>
            <w:r w:rsidRPr="00FD1A75">
              <w:t>5.9%</w:t>
            </w:r>
          </w:p>
        </w:tc>
        <w:tc>
          <w:tcPr>
            <w:tcW w:w="841" w:type="pct"/>
          </w:tcPr>
          <w:p w14:paraId="07493564" w14:textId="77777777" w:rsidR="0038061C" w:rsidRPr="00FD1A75" w:rsidRDefault="0038061C" w:rsidP="00FD1A75">
            <w:pPr>
              <w:jc w:val="center"/>
            </w:pPr>
            <w:r w:rsidRPr="00FD1A75">
              <w:t>6.7%</w:t>
            </w:r>
          </w:p>
        </w:tc>
        <w:tc>
          <w:tcPr>
            <w:tcW w:w="841" w:type="pct"/>
          </w:tcPr>
          <w:p w14:paraId="1E91E7BD" w14:textId="77777777" w:rsidR="0038061C" w:rsidRPr="00FD1A75" w:rsidRDefault="0038061C" w:rsidP="00FD1A75">
            <w:pPr>
              <w:jc w:val="center"/>
            </w:pPr>
            <w:r w:rsidRPr="00FD1A75">
              <w:t>5.4%</w:t>
            </w:r>
          </w:p>
        </w:tc>
        <w:tc>
          <w:tcPr>
            <w:tcW w:w="348" w:type="pct"/>
          </w:tcPr>
          <w:p w14:paraId="2A03357E" w14:textId="70F9BBD0" w:rsidR="0038061C" w:rsidRPr="00066C43" w:rsidRDefault="0038061C" w:rsidP="00FD1A75">
            <w:pPr>
              <w:jc w:val="center"/>
            </w:pPr>
            <w:r w:rsidRPr="00066C43">
              <w:rPr>
                <w:rFonts w:cstheme="minorHAnsi"/>
              </w:rPr>
              <w:t>↓</w:t>
            </w:r>
          </w:p>
        </w:tc>
      </w:tr>
      <w:tr w:rsidR="0038061C" w:rsidRPr="00FD1A75" w14:paraId="51F219BF" w14:textId="5827D92C" w:rsidTr="0038061C">
        <w:tc>
          <w:tcPr>
            <w:tcW w:w="2130" w:type="pct"/>
          </w:tcPr>
          <w:p w14:paraId="259CA7D9" w14:textId="77777777" w:rsidR="0038061C" w:rsidRPr="00FD1A75" w:rsidRDefault="0038061C" w:rsidP="00FD1A75">
            <w:r w:rsidRPr="00FD1A75">
              <w:t>% Women</w:t>
            </w:r>
          </w:p>
        </w:tc>
        <w:tc>
          <w:tcPr>
            <w:tcW w:w="841" w:type="pct"/>
            <w:shd w:val="clear" w:color="auto" w:fill="auto"/>
          </w:tcPr>
          <w:p w14:paraId="05DFF718" w14:textId="77777777" w:rsidR="0038061C" w:rsidRPr="00FD1A75" w:rsidRDefault="0038061C" w:rsidP="00FD1A75">
            <w:pPr>
              <w:jc w:val="center"/>
            </w:pPr>
            <w:r w:rsidRPr="00FD1A75">
              <w:t>53.2%</w:t>
            </w:r>
          </w:p>
        </w:tc>
        <w:tc>
          <w:tcPr>
            <w:tcW w:w="841" w:type="pct"/>
            <w:shd w:val="clear" w:color="auto" w:fill="auto"/>
          </w:tcPr>
          <w:p w14:paraId="7C16FD3A" w14:textId="77777777" w:rsidR="0038061C" w:rsidRPr="00FD1A75" w:rsidRDefault="0038061C" w:rsidP="00FD1A75">
            <w:pPr>
              <w:jc w:val="center"/>
            </w:pPr>
            <w:r w:rsidRPr="00FD1A75">
              <w:t>53.2%</w:t>
            </w:r>
          </w:p>
        </w:tc>
        <w:tc>
          <w:tcPr>
            <w:tcW w:w="841" w:type="pct"/>
            <w:shd w:val="clear" w:color="auto" w:fill="auto"/>
          </w:tcPr>
          <w:p w14:paraId="18FD8C0A" w14:textId="77777777" w:rsidR="0038061C" w:rsidRPr="00FD1A75" w:rsidRDefault="0038061C" w:rsidP="00FD1A75">
            <w:pPr>
              <w:jc w:val="center"/>
            </w:pPr>
            <w:r w:rsidRPr="00FD1A75">
              <w:t>52.4%</w:t>
            </w:r>
          </w:p>
        </w:tc>
        <w:tc>
          <w:tcPr>
            <w:tcW w:w="348" w:type="pct"/>
          </w:tcPr>
          <w:p w14:paraId="0BC341E2" w14:textId="78A80A69" w:rsidR="0038061C" w:rsidRPr="00066C43" w:rsidRDefault="0038061C" w:rsidP="00FD1A75">
            <w:pPr>
              <w:jc w:val="center"/>
            </w:pPr>
            <w:r w:rsidRPr="00066C43">
              <w:rPr>
                <w:rFonts w:cstheme="minorHAnsi"/>
              </w:rPr>
              <w:t>↓</w:t>
            </w:r>
          </w:p>
        </w:tc>
      </w:tr>
      <w:tr w:rsidR="0038061C" w:rsidRPr="00FD1A75" w14:paraId="074D9EA5" w14:textId="5CC326DC" w:rsidTr="0038061C">
        <w:tc>
          <w:tcPr>
            <w:tcW w:w="2130" w:type="pct"/>
          </w:tcPr>
          <w:p w14:paraId="4FD2A47B" w14:textId="39A1C644" w:rsidR="0038061C" w:rsidRPr="00FD1A75" w:rsidRDefault="0038061C" w:rsidP="00B8192F">
            <w:r w:rsidRPr="00FD1A75">
              <w:t>% BAME</w:t>
            </w:r>
            <w:r w:rsidR="00B8192F">
              <w:t>+</w:t>
            </w:r>
          </w:p>
        </w:tc>
        <w:tc>
          <w:tcPr>
            <w:tcW w:w="841" w:type="pct"/>
            <w:shd w:val="clear" w:color="auto" w:fill="auto"/>
          </w:tcPr>
          <w:p w14:paraId="5EFCD255" w14:textId="77777777" w:rsidR="0038061C" w:rsidRPr="00FD1A75" w:rsidRDefault="0038061C" w:rsidP="00FD1A75">
            <w:pPr>
              <w:jc w:val="center"/>
            </w:pPr>
            <w:r w:rsidRPr="00FD1A75">
              <w:t>35.3%</w:t>
            </w:r>
          </w:p>
        </w:tc>
        <w:tc>
          <w:tcPr>
            <w:tcW w:w="841" w:type="pct"/>
            <w:shd w:val="clear" w:color="auto" w:fill="auto"/>
          </w:tcPr>
          <w:p w14:paraId="241DE3F1" w14:textId="77777777" w:rsidR="0038061C" w:rsidRPr="00FD1A75" w:rsidRDefault="0038061C" w:rsidP="00FD1A75">
            <w:pPr>
              <w:jc w:val="center"/>
            </w:pPr>
            <w:r w:rsidRPr="00FD1A75">
              <w:t>37.1%</w:t>
            </w:r>
          </w:p>
        </w:tc>
        <w:tc>
          <w:tcPr>
            <w:tcW w:w="841" w:type="pct"/>
            <w:shd w:val="clear" w:color="auto" w:fill="auto"/>
          </w:tcPr>
          <w:p w14:paraId="29BE5EF5" w14:textId="77777777" w:rsidR="0038061C" w:rsidRPr="00FD1A75" w:rsidRDefault="0038061C" w:rsidP="00FD1A75">
            <w:pPr>
              <w:jc w:val="center"/>
            </w:pPr>
            <w:r w:rsidRPr="00FD1A75">
              <w:t>41.7%</w:t>
            </w:r>
          </w:p>
        </w:tc>
        <w:tc>
          <w:tcPr>
            <w:tcW w:w="348" w:type="pct"/>
          </w:tcPr>
          <w:p w14:paraId="45B6A2C2" w14:textId="7727DDE5" w:rsidR="0038061C" w:rsidRPr="00066C43" w:rsidRDefault="0038061C" w:rsidP="00FD1A75">
            <w:pPr>
              <w:jc w:val="center"/>
            </w:pPr>
            <w:r w:rsidRPr="00066C43">
              <w:t>↑</w:t>
            </w:r>
          </w:p>
        </w:tc>
      </w:tr>
      <w:tr w:rsidR="0038061C" w:rsidRPr="00FD1A75" w14:paraId="78615010" w14:textId="0A8EC858" w:rsidTr="0038061C">
        <w:tc>
          <w:tcPr>
            <w:tcW w:w="2130" w:type="pct"/>
          </w:tcPr>
          <w:p w14:paraId="47CBD7EA" w14:textId="77777777" w:rsidR="0038061C" w:rsidRPr="00FD1A75" w:rsidRDefault="0038061C" w:rsidP="00FD1A75">
            <w:r w:rsidRPr="00FD1A75">
              <w:t>% People of Colour</w:t>
            </w:r>
          </w:p>
        </w:tc>
        <w:tc>
          <w:tcPr>
            <w:tcW w:w="841" w:type="pct"/>
          </w:tcPr>
          <w:p w14:paraId="7226F9C8" w14:textId="77777777" w:rsidR="0038061C" w:rsidRPr="00FD1A75" w:rsidRDefault="0038061C" w:rsidP="00FD1A75">
            <w:pPr>
              <w:jc w:val="center"/>
            </w:pPr>
            <w:r w:rsidRPr="00FD1A75">
              <w:t>21.3%</w:t>
            </w:r>
          </w:p>
        </w:tc>
        <w:tc>
          <w:tcPr>
            <w:tcW w:w="841" w:type="pct"/>
          </w:tcPr>
          <w:p w14:paraId="5C495C53" w14:textId="77777777" w:rsidR="0038061C" w:rsidRPr="00FD1A75" w:rsidRDefault="0038061C" w:rsidP="00FD1A75">
            <w:pPr>
              <w:jc w:val="center"/>
            </w:pPr>
            <w:r w:rsidRPr="00FD1A75">
              <w:t>22.5%</w:t>
            </w:r>
          </w:p>
        </w:tc>
        <w:tc>
          <w:tcPr>
            <w:tcW w:w="841" w:type="pct"/>
          </w:tcPr>
          <w:p w14:paraId="0567C0EF" w14:textId="77777777" w:rsidR="0038061C" w:rsidRPr="00FD1A75" w:rsidRDefault="0038061C" w:rsidP="00FD1A75">
            <w:pPr>
              <w:jc w:val="center"/>
            </w:pPr>
            <w:r w:rsidRPr="00FD1A75">
              <w:t>27.0%</w:t>
            </w:r>
          </w:p>
        </w:tc>
        <w:tc>
          <w:tcPr>
            <w:tcW w:w="348" w:type="pct"/>
          </w:tcPr>
          <w:p w14:paraId="22A87F9C" w14:textId="4F78A3C2" w:rsidR="0038061C" w:rsidRPr="00066C43" w:rsidRDefault="0038061C" w:rsidP="00FD1A75">
            <w:pPr>
              <w:jc w:val="center"/>
            </w:pPr>
            <w:r w:rsidRPr="00066C43">
              <w:t>↑</w:t>
            </w:r>
          </w:p>
        </w:tc>
      </w:tr>
      <w:tr w:rsidR="0038061C" w:rsidRPr="00FD1A75" w14:paraId="20EA14CE" w14:textId="35343A85" w:rsidTr="0038061C">
        <w:tc>
          <w:tcPr>
            <w:tcW w:w="2130" w:type="pct"/>
          </w:tcPr>
          <w:p w14:paraId="48495B57" w14:textId="77777777" w:rsidR="0038061C" w:rsidRPr="00FD1A75" w:rsidRDefault="0038061C" w:rsidP="00FD1A75">
            <w:r w:rsidRPr="00FD1A75">
              <w:t>% People of Colour (UK)</w:t>
            </w:r>
          </w:p>
        </w:tc>
        <w:tc>
          <w:tcPr>
            <w:tcW w:w="841" w:type="pct"/>
          </w:tcPr>
          <w:p w14:paraId="4141F73D" w14:textId="77777777" w:rsidR="0038061C" w:rsidRPr="00FD1A75" w:rsidRDefault="0038061C" w:rsidP="00FD1A75">
            <w:pPr>
              <w:jc w:val="center"/>
            </w:pPr>
            <w:r w:rsidRPr="00FD1A75">
              <w:t>6.5%</w:t>
            </w:r>
          </w:p>
        </w:tc>
        <w:tc>
          <w:tcPr>
            <w:tcW w:w="841" w:type="pct"/>
          </w:tcPr>
          <w:p w14:paraId="1AB6C8D0" w14:textId="77777777" w:rsidR="0038061C" w:rsidRPr="00FD1A75" w:rsidRDefault="0038061C" w:rsidP="00FD1A75">
            <w:pPr>
              <w:jc w:val="center"/>
            </w:pPr>
            <w:r w:rsidRPr="00FD1A75">
              <w:t>6.5%</w:t>
            </w:r>
          </w:p>
        </w:tc>
        <w:tc>
          <w:tcPr>
            <w:tcW w:w="841" w:type="pct"/>
          </w:tcPr>
          <w:p w14:paraId="71428B62" w14:textId="77777777" w:rsidR="0038061C" w:rsidRPr="00FD1A75" w:rsidRDefault="0038061C" w:rsidP="00FD1A75">
            <w:pPr>
              <w:jc w:val="center"/>
            </w:pPr>
            <w:r w:rsidRPr="00FD1A75">
              <w:t>6.9%</w:t>
            </w:r>
          </w:p>
        </w:tc>
        <w:tc>
          <w:tcPr>
            <w:tcW w:w="348" w:type="pct"/>
          </w:tcPr>
          <w:p w14:paraId="2FB5D8A8" w14:textId="622F3632" w:rsidR="0038061C" w:rsidRPr="00066C43" w:rsidRDefault="0038061C" w:rsidP="00FD1A75">
            <w:pPr>
              <w:jc w:val="center"/>
            </w:pPr>
            <w:r w:rsidRPr="00066C43">
              <w:t>↑</w:t>
            </w:r>
          </w:p>
        </w:tc>
      </w:tr>
      <w:tr w:rsidR="0038061C" w:rsidRPr="00FD1A75" w14:paraId="4BEFE12E" w14:textId="6E4584C9" w:rsidTr="0038061C">
        <w:tc>
          <w:tcPr>
            <w:tcW w:w="2130" w:type="pct"/>
          </w:tcPr>
          <w:p w14:paraId="4F2CF362" w14:textId="77777777" w:rsidR="0038061C" w:rsidRPr="00FD1A75" w:rsidRDefault="0038061C" w:rsidP="00FD1A75">
            <w:r w:rsidRPr="00FD1A75">
              <w:t>% LGB+</w:t>
            </w:r>
          </w:p>
        </w:tc>
        <w:tc>
          <w:tcPr>
            <w:tcW w:w="841" w:type="pct"/>
          </w:tcPr>
          <w:p w14:paraId="0A81DA8F" w14:textId="77777777" w:rsidR="0038061C" w:rsidRPr="00FD1A75" w:rsidRDefault="0038061C" w:rsidP="00FD1A75">
            <w:pPr>
              <w:jc w:val="center"/>
            </w:pPr>
            <w:r w:rsidRPr="00FD1A75">
              <w:t>6.8%</w:t>
            </w:r>
          </w:p>
        </w:tc>
        <w:tc>
          <w:tcPr>
            <w:tcW w:w="841" w:type="pct"/>
          </w:tcPr>
          <w:p w14:paraId="32AA5F44" w14:textId="77777777" w:rsidR="0038061C" w:rsidRPr="00FD1A75" w:rsidRDefault="0038061C" w:rsidP="00FD1A75">
            <w:pPr>
              <w:jc w:val="center"/>
            </w:pPr>
            <w:r w:rsidRPr="00FD1A75">
              <w:t>8.0%</w:t>
            </w:r>
          </w:p>
        </w:tc>
        <w:tc>
          <w:tcPr>
            <w:tcW w:w="841" w:type="pct"/>
          </w:tcPr>
          <w:p w14:paraId="4D1579D6" w14:textId="77777777" w:rsidR="0038061C" w:rsidRPr="00FD1A75" w:rsidRDefault="0038061C" w:rsidP="00FD1A75">
            <w:pPr>
              <w:jc w:val="center"/>
            </w:pPr>
            <w:r w:rsidRPr="00FD1A75">
              <w:t>8.7%</w:t>
            </w:r>
          </w:p>
        </w:tc>
        <w:tc>
          <w:tcPr>
            <w:tcW w:w="348" w:type="pct"/>
          </w:tcPr>
          <w:p w14:paraId="7C041877" w14:textId="483F0B82" w:rsidR="0038061C" w:rsidRPr="00066C43" w:rsidRDefault="0038061C" w:rsidP="00FD1A75">
            <w:pPr>
              <w:jc w:val="center"/>
            </w:pPr>
            <w:r w:rsidRPr="00066C43">
              <w:t>↑</w:t>
            </w:r>
          </w:p>
        </w:tc>
      </w:tr>
      <w:tr w:rsidR="0038061C" w:rsidRPr="00FD1A75" w14:paraId="10D46233" w14:textId="442B7A67" w:rsidTr="0038061C">
        <w:tc>
          <w:tcPr>
            <w:tcW w:w="2130" w:type="pct"/>
          </w:tcPr>
          <w:p w14:paraId="4C9E84C4" w14:textId="77777777" w:rsidR="0038061C" w:rsidRPr="00FD1A75" w:rsidRDefault="0038061C" w:rsidP="00FD1A75">
            <w:r w:rsidRPr="00FD1A75">
              <w:t>% Religious (ex Christian)</w:t>
            </w:r>
          </w:p>
        </w:tc>
        <w:tc>
          <w:tcPr>
            <w:tcW w:w="841" w:type="pct"/>
          </w:tcPr>
          <w:p w14:paraId="785831FC" w14:textId="77777777" w:rsidR="0038061C" w:rsidRPr="00FD1A75" w:rsidRDefault="0038061C" w:rsidP="00FD1A75">
            <w:pPr>
              <w:jc w:val="center"/>
            </w:pPr>
            <w:r w:rsidRPr="00FD1A75">
              <w:t>12.8%</w:t>
            </w:r>
          </w:p>
        </w:tc>
        <w:tc>
          <w:tcPr>
            <w:tcW w:w="841" w:type="pct"/>
          </w:tcPr>
          <w:p w14:paraId="6A828821" w14:textId="77777777" w:rsidR="0038061C" w:rsidRPr="00FD1A75" w:rsidRDefault="0038061C" w:rsidP="00FD1A75">
            <w:pPr>
              <w:jc w:val="center"/>
            </w:pPr>
            <w:r w:rsidRPr="00FD1A75">
              <w:t>13.9%</w:t>
            </w:r>
          </w:p>
        </w:tc>
        <w:tc>
          <w:tcPr>
            <w:tcW w:w="841" w:type="pct"/>
          </w:tcPr>
          <w:p w14:paraId="2CAD564C" w14:textId="77777777" w:rsidR="0038061C" w:rsidRPr="00FD1A75" w:rsidRDefault="0038061C" w:rsidP="00FD1A75">
            <w:pPr>
              <w:jc w:val="center"/>
            </w:pPr>
            <w:r w:rsidRPr="00FD1A75">
              <w:t>17.1%</w:t>
            </w:r>
          </w:p>
        </w:tc>
        <w:tc>
          <w:tcPr>
            <w:tcW w:w="348" w:type="pct"/>
          </w:tcPr>
          <w:p w14:paraId="53038DEB" w14:textId="35A950EB" w:rsidR="0038061C" w:rsidRPr="00066C43" w:rsidRDefault="0038061C" w:rsidP="00FD1A75">
            <w:pPr>
              <w:jc w:val="center"/>
            </w:pPr>
            <w:r w:rsidRPr="00066C43">
              <w:t>↑</w:t>
            </w:r>
          </w:p>
        </w:tc>
      </w:tr>
    </w:tbl>
    <w:p w14:paraId="3EC80808" w14:textId="77777777" w:rsidR="00FD1A75" w:rsidRPr="00FD1A75" w:rsidRDefault="00FD1A75" w:rsidP="00467BC2">
      <w:pPr>
        <w:pStyle w:val="Heading3"/>
        <w:numPr>
          <w:ilvl w:val="2"/>
          <w:numId w:val="4"/>
        </w:numPr>
      </w:pPr>
      <w:bookmarkStart w:id="37" w:name="_Toc55202782"/>
      <w:bookmarkStart w:id="38" w:name="_Toc55219254"/>
      <w:bookmarkStart w:id="39" w:name="_Toc55241649"/>
      <w:bookmarkStart w:id="40" w:name="_Toc55573531"/>
      <w:bookmarkStart w:id="41" w:name="_Toc57023229"/>
      <w:bookmarkStart w:id="42" w:name="_Toc63432744"/>
      <w:r w:rsidRPr="00FD1A75">
        <w:t>Gender % Female</w:t>
      </w:r>
      <w:bookmarkEnd w:id="37"/>
      <w:bookmarkEnd w:id="38"/>
      <w:bookmarkEnd w:id="39"/>
      <w:bookmarkEnd w:id="40"/>
      <w:bookmarkEnd w:id="41"/>
      <w:bookmarkEnd w:id="42"/>
    </w:p>
    <w:tbl>
      <w:tblPr>
        <w:tblStyle w:val="TableGrid"/>
        <w:tblW w:w="5000" w:type="pct"/>
        <w:tblLook w:val="04A0" w:firstRow="1" w:lastRow="0" w:firstColumn="1" w:lastColumn="0" w:noHBand="0" w:noVBand="1"/>
      </w:tblPr>
      <w:tblGrid>
        <w:gridCol w:w="2957"/>
        <w:gridCol w:w="1758"/>
        <w:gridCol w:w="1866"/>
        <w:gridCol w:w="1827"/>
        <w:gridCol w:w="608"/>
      </w:tblGrid>
      <w:tr w:rsidR="0038061C" w:rsidRPr="00FD1A75" w14:paraId="3554522B" w14:textId="48CA0B19" w:rsidTr="0038061C">
        <w:tc>
          <w:tcPr>
            <w:tcW w:w="1640" w:type="pct"/>
            <w:shd w:val="clear" w:color="auto" w:fill="9CC2E5" w:themeFill="accent1" w:themeFillTint="99"/>
          </w:tcPr>
          <w:p w14:paraId="1AE8FC04" w14:textId="77777777" w:rsidR="0038061C" w:rsidRPr="00FD1A75" w:rsidRDefault="0038061C" w:rsidP="00FD1A75"/>
        </w:tc>
        <w:tc>
          <w:tcPr>
            <w:tcW w:w="975" w:type="pct"/>
            <w:shd w:val="clear" w:color="auto" w:fill="9CC2E5" w:themeFill="accent1" w:themeFillTint="99"/>
          </w:tcPr>
          <w:p w14:paraId="7718E883" w14:textId="77777777" w:rsidR="0038061C" w:rsidRPr="00FD1A75" w:rsidRDefault="0038061C" w:rsidP="00FD1A75">
            <w:pPr>
              <w:jc w:val="center"/>
              <w:rPr>
                <w:b/>
              </w:rPr>
            </w:pPr>
            <w:r w:rsidRPr="00FD1A75">
              <w:rPr>
                <w:b/>
              </w:rPr>
              <w:t>2017/18</w:t>
            </w:r>
          </w:p>
        </w:tc>
        <w:tc>
          <w:tcPr>
            <w:tcW w:w="1035" w:type="pct"/>
            <w:shd w:val="clear" w:color="auto" w:fill="9CC2E5" w:themeFill="accent1" w:themeFillTint="99"/>
          </w:tcPr>
          <w:p w14:paraId="119CD93C" w14:textId="77777777" w:rsidR="0038061C" w:rsidRPr="00FD1A75" w:rsidRDefault="0038061C" w:rsidP="00FD1A75">
            <w:pPr>
              <w:jc w:val="center"/>
              <w:rPr>
                <w:b/>
              </w:rPr>
            </w:pPr>
            <w:r w:rsidRPr="00FD1A75">
              <w:rPr>
                <w:b/>
              </w:rPr>
              <w:t>2018/19</w:t>
            </w:r>
          </w:p>
        </w:tc>
        <w:tc>
          <w:tcPr>
            <w:tcW w:w="1013" w:type="pct"/>
            <w:shd w:val="clear" w:color="auto" w:fill="9CC2E5" w:themeFill="accent1" w:themeFillTint="99"/>
          </w:tcPr>
          <w:p w14:paraId="49469F26" w14:textId="77777777" w:rsidR="0038061C" w:rsidRPr="00FD1A75" w:rsidRDefault="0038061C" w:rsidP="00FD1A75">
            <w:pPr>
              <w:jc w:val="center"/>
              <w:rPr>
                <w:b/>
              </w:rPr>
            </w:pPr>
            <w:r w:rsidRPr="00FD1A75">
              <w:rPr>
                <w:b/>
              </w:rPr>
              <w:t>2019/20</w:t>
            </w:r>
          </w:p>
        </w:tc>
        <w:tc>
          <w:tcPr>
            <w:tcW w:w="338" w:type="pct"/>
            <w:shd w:val="clear" w:color="auto" w:fill="9CC2E5" w:themeFill="accent1" w:themeFillTint="99"/>
          </w:tcPr>
          <w:p w14:paraId="0A1896E0" w14:textId="77777777" w:rsidR="0038061C" w:rsidRPr="00066C43" w:rsidRDefault="0038061C" w:rsidP="00FD1A75">
            <w:pPr>
              <w:jc w:val="center"/>
            </w:pPr>
          </w:p>
        </w:tc>
      </w:tr>
      <w:tr w:rsidR="0038061C" w:rsidRPr="00FD1A75" w14:paraId="4A16385C" w14:textId="6C60CC37" w:rsidTr="0038061C">
        <w:tc>
          <w:tcPr>
            <w:tcW w:w="1640" w:type="pct"/>
          </w:tcPr>
          <w:p w14:paraId="7EE0FB88" w14:textId="77777777" w:rsidR="0038061C" w:rsidRPr="00FD1A75" w:rsidRDefault="0038061C" w:rsidP="00FD1A75">
            <w:r w:rsidRPr="00FD1A75">
              <w:t>% Applications</w:t>
            </w:r>
          </w:p>
        </w:tc>
        <w:tc>
          <w:tcPr>
            <w:tcW w:w="975" w:type="pct"/>
            <w:shd w:val="clear" w:color="auto" w:fill="auto"/>
          </w:tcPr>
          <w:p w14:paraId="181E8E4A" w14:textId="77777777" w:rsidR="0038061C" w:rsidRPr="00FD1A75" w:rsidRDefault="0038061C" w:rsidP="00FD1A75">
            <w:pPr>
              <w:jc w:val="center"/>
            </w:pPr>
            <w:r w:rsidRPr="00FD1A75">
              <w:t>53.2%</w:t>
            </w:r>
          </w:p>
        </w:tc>
        <w:tc>
          <w:tcPr>
            <w:tcW w:w="1035" w:type="pct"/>
            <w:shd w:val="clear" w:color="auto" w:fill="auto"/>
          </w:tcPr>
          <w:p w14:paraId="6745665A" w14:textId="77777777" w:rsidR="0038061C" w:rsidRPr="00FD1A75" w:rsidRDefault="0038061C" w:rsidP="00FD1A75">
            <w:pPr>
              <w:jc w:val="center"/>
            </w:pPr>
            <w:r w:rsidRPr="00FD1A75">
              <w:t>53.2%</w:t>
            </w:r>
          </w:p>
        </w:tc>
        <w:tc>
          <w:tcPr>
            <w:tcW w:w="1013" w:type="pct"/>
            <w:shd w:val="clear" w:color="auto" w:fill="auto"/>
          </w:tcPr>
          <w:p w14:paraId="6C7470BF" w14:textId="77777777" w:rsidR="0038061C" w:rsidRPr="00FD1A75" w:rsidRDefault="0038061C" w:rsidP="00FD1A75">
            <w:pPr>
              <w:jc w:val="center"/>
            </w:pPr>
            <w:r w:rsidRPr="00FD1A75">
              <w:t>52.4%</w:t>
            </w:r>
          </w:p>
        </w:tc>
        <w:tc>
          <w:tcPr>
            <w:tcW w:w="338" w:type="pct"/>
          </w:tcPr>
          <w:p w14:paraId="588746B3" w14:textId="311AEE81" w:rsidR="0038061C" w:rsidRPr="00066C43" w:rsidRDefault="0038061C" w:rsidP="00FD1A75">
            <w:pPr>
              <w:jc w:val="center"/>
            </w:pPr>
            <w:r w:rsidRPr="00066C43">
              <w:rPr>
                <w:rFonts w:cstheme="minorHAnsi"/>
              </w:rPr>
              <w:t>↓</w:t>
            </w:r>
          </w:p>
        </w:tc>
      </w:tr>
      <w:tr w:rsidR="0038061C" w:rsidRPr="00FD1A75" w14:paraId="20E45A2C" w14:textId="58B03072" w:rsidTr="0038061C">
        <w:tc>
          <w:tcPr>
            <w:tcW w:w="1640" w:type="pct"/>
          </w:tcPr>
          <w:p w14:paraId="517D0DB1" w14:textId="77777777" w:rsidR="0038061C" w:rsidRPr="00FD1A75" w:rsidRDefault="0038061C" w:rsidP="00FD1A75">
            <w:r w:rsidRPr="00FD1A75">
              <w:t>% Invited to Interview</w:t>
            </w:r>
          </w:p>
        </w:tc>
        <w:tc>
          <w:tcPr>
            <w:tcW w:w="975" w:type="pct"/>
          </w:tcPr>
          <w:p w14:paraId="45832B33" w14:textId="77777777" w:rsidR="0038061C" w:rsidRPr="00FD1A75" w:rsidRDefault="0038061C" w:rsidP="00FD1A75">
            <w:pPr>
              <w:jc w:val="center"/>
            </w:pPr>
            <w:r w:rsidRPr="00FD1A75">
              <w:t>52.6%</w:t>
            </w:r>
          </w:p>
        </w:tc>
        <w:tc>
          <w:tcPr>
            <w:tcW w:w="1035" w:type="pct"/>
          </w:tcPr>
          <w:p w14:paraId="541D0C95" w14:textId="77777777" w:rsidR="0038061C" w:rsidRPr="00FD1A75" w:rsidRDefault="0038061C" w:rsidP="00FD1A75">
            <w:pPr>
              <w:jc w:val="center"/>
            </w:pPr>
            <w:r w:rsidRPr="00FD1A75">
              <w:t>52.7%</w:t>
            </w:r>
          </w:p>
        </w:tc>
        <w:tc>
          <w:tcPr>
            <w:tcW w:w="1013" w:type="pct"/>
          </w:tcPr>
          <w:p w14:paraId="79788DC9" w14:textId="77777777" w:rsidR="0038061C" w:rsidRPr="00FD1A75" w:rsidRDefault="0038061C" w:rsidP="00FD1A75">
            <w:pPr>
              <w:jc w:val="center"/>
            </w:pPr>
            <w:r w:rsidRPr="00FD1A75">
              <w:t>50.1%</w:t>
            </w:r>
          </w:p>
        </w:tc>
        <w:tc>
          <w:tcPr>
            <w:tcW w:w="338" w:type="pct"/>
          </w:tcPr>
          <w:p w14:paraId="7A3F6312" w14:textId="713C950A" w:rsidR="0038061C" w:rsidRPr="00066C43" w:rsidRDefault="0038061C" w:rsidP="00FD1A75">
            <w:pPr>
              <w:jc w:val="center"/>
            </w:pPr>
            <w:r w:rsidRPr="00066C43">
              <w:rPr>
                <w:rFonts w:cstheme="minorHAnsi"/>
              </w:rPr>
              <w:t>↓</w:t>
            </w:r>
          </w:p>
        </w:tc>
      </w:tr>
      <w:tr w:rsidR="0038061C" w:rsidRPr="00FD1A75" w14:paraId="524D20B6" w14:textId="6CC8ABB0" w:rsidTr="0038061C">
        <w:tc>
          <w:tcPr>
            <w:tcW w:w="1640" w:type="pct"/>
          </w:tcPr>
          <w:p w14:paraId="73641117" w14:textId="77777777" w:rsidR="0038061C" w:rsidRPr="00FD1A75" w:rsidRDefault="0038061C" w:rsidP="00FD1A75">
            <w:r w:rsidRPr="00FD1A75">
              <w:t>% Post Offered</w:t>
            </w:r>
          </w:p>
        </w:tc>
        <w:tc>
          <w:tcPr>
            <w:tcW w:w="975" w:type="pct"/>
          </w:tcPr>
          <w:p w14:paraId="60F087A7" w14:textId="77777777" w:rsidR="0038061C" w:rsidRPr="00FD1A75" w:rsidRDefault="0038061C" w:rsidP="00FD1A75">
            <w:pPr>
              <w:jc w:val="center"/>
            </w:pPr>
            <w:r w:rsidRPr="00FD1A75">
              <w:t>50.3%</w:t>
            </w:r>
          </w:p>
        </w:tc>
        <w:tc>
          <w:tcPr>
            <w:tcW w:w="1035" w:type="pct"/>
          </w:tcPr>
          <w:p w14:paraId="06910BE1" w14:textId="77777777" w:rsidR="0038061C" w:rsidRPr="00FD1A75" w:rsidRDefault="0038061C" w:rsidP="00FD1A75">
            <w:pPr>
              <w:jc w:val="center"/>
            </w:pPr>
            <w:r w:rsidRPr="00FD1A75">
              <w:t>52.0%</w:t>
            </w:r>
          </w:p>
        </w:tc>
        <w:tc>
          <w:tcPr>
            <w:tcW w:w="1013" w:type="pct"/>
          </w:tcPr>
          <w:p w14:paraId="05817409" w14:textId="77777777" w:rsidR="0038061C" w:rsidRPr="00FD1A75" w:rsidRDefault="0038061C" w:rsidP="00FD1A75">
            <w:pPr>
              <w:jc w:val="center"/>
            </w:pPr>
            <w:r w:rsidRPr="00FD1A75">
              <w:t>52.5%</w:t>
            </w:r>
          </w:p>
        </w:tc>
        <w:tc>
          <w:tcPr>
            <w:tcW w:w="338" w:type="pct"/>
          </w:tcPr>
          <w:p w14:paraId="696F6C68" w14:textId="6C1A789B" w:rsidR="0038061C" w:rsidRPr="00066C43" w:rsidRDefault="0038061C" w:rsidP="00FD1A75">
            <w:pPr>
              <w:jc w:val="center"/>
            </w:pPr>
            <w:r w:rsidRPr="00066C43">
              <w:t>↑</w:t>
            </w:r>
          </w:p>
        </w:tc>
      </w:tr>
    </w:tbl>
    <w:p w14:paraId="341E0E18" w14:textId="77777777" w:rsidR="00FD1A75" w:rsidRPr="00FD1A75" w:rsidRDefault="00FD1A75" w:rsidP="00467BC2">
      <w:pPr>
        <w:pStyle w:val="Heading3"/>
        <w:numPr>
          <w:ilvl w:val="2"/>
          <w:numId w:val="4"/>
        </w:numPr>
      </w:pPr>
      <w:bookmarkStart w:id="43" w:name="_Toc55202784"/>
      <w:bookmarkStart w:id="44" w:name="_Toc55219256"/>
      <w:bookmarkStart w:id="45" w:name="_Toc55241651"/>
      <w:bookmarkStart w:id="46" w:name="_Toc55573532"/>
      <w:bookmarkStart w:id="47" w:name="_Toc57023230"/>
      <w:bookmarkStart w:id="48" w:name="_Toc63432745"/>
      <w:r w:rsidRPr="00FD1A75">
        <w:t>Disability % Known Disability</w:t>
      </w:r>
      <w:bookmarkEnd w:id="43"/>
      <w:bookmarkEnd w:id="44"/>
      <w:bookmarkEnd w:id="45"/>
      <w:bookmarkEnd w:id="46"/>
      <w:bookmarkEnd w:id="47"/>
      <w:bookmarkEnd w:id="48"/>
    </w:p>
    <w:tbl>
      <w:tblPr>
        <w:tblStyle w:val="TableGrid"/>
        <w:tblW w:w="5000" w:type="pct"/>
        <w:tblLook w:val="04A0" w:firstRow="1" w:lastRow="0" w:firstColumn="1" w:lastColumn="0" w:noHBand="0" w:noVBand="1"/>
      </w:tblPr>
      <w:tblGrid>
        <w:gridCol w:w="2957"/>
        <w:gridCol w:w="1758"/>
        <w:gridCol w:w="1866"/>
        <w:gridCol w:w="1827"/>
        <w:gridCol w:w="608"/>
      </w:tblGrid>
      <w:tr w:rsidR="0038061C" w:rsidRPr="00FD1A75" w14:paraId="736B481E" w14:textId="47CE9209" w:rsidTr="00B34268">
        <w:tc>
          <w:tcPr>
            <w:tcW w:w="1640" w:type="pct"/>
            <w:shd w:val="clear" w:color="auto" w:fill="9CC2E5" w:themeFill="accent1" w:themeFillTint="99"/>
          </w:tcPr>
          <w:p w14:paraId="000F7ADA" w14:textId="77777777" w:rsidR="0038061C" w:rsidRPr="00FD1A75" w:rsidRDefault="0038061C" w:rsidP="00FD1A75"/>
        </w:tc>
        <w:tc>
          <w:tcPr>
            <w:tcW w:w="975" w:type="pct"/>
            <w:shd w:val="clear" w:color="auto" w:fill="9CC2E5" w:themeFill="accent1" w:themeFillTint="99"/>
          </w:tcPr>
          <w:p w14:paraId="6CE89F49" w14:textId="77777777" w:rsidR="0038061C" w:rsidRPr="00FD1A75" w:rsidRDefault="0038061C" w:rsidP="00FD1A75">
            <w:pPr>
              <w:jc w:val="center"/>
              <w:rPr>
                <w:b/>
              </w:rPr>
            </w:pPr>
            <w:r w:rsidRPr="00FD1A75">
              <w:rPr>
                <w:b/>
              </w:rPr>
              <w:t>2017/18</w:t>
            </w:r>
          </w:p>
        </w:tc>
        <w:tc>
          <w:tcPr>
            <w:tcW w:w="1035" w:type="pct"/>
            <w:shd w:val="clear" w:color="auto" w:fill="9CC2E5" w:themeFill="accent1" w:themeFillTint="99"/>
          </w:tcPr>
          <w:p w14:paraId="3333A62A" w14:textId="77777777" w:rsidR="0038061C" w:rsidRPr="00FD1A75" w:rsidRDefault="0038061C" w:rsidP="00FD1A75">
            <w:pPr>
              <w:jc w:val="center"/>
              <w:rPr>
                <w:b/>
              </w:rPr>
            </w:pPr>
            <w:r w:rsidRPr="00FD1A75">
              <w:rPr>
                <w:b/>
              </w:rPr>
              <w:t>2018/19</w:t>
            </w:r>
          </w:p>
        </w:tc>
        <w:tc>
          <w:tcPr>
            <w:tcW w:w="1013" w:type="pct"/>
            <w:shd w:val="clear" w:color="auto" w:fill="9CC2E5" w:themeFill="accent1" w:themeFillTint="99"/>
          </w:tcPr>
          <w:p w14:paraId="5F7A5712" w14:textId="77777777" w:rsidR="0038061C" w:rsidRPr="00FD1A75" w:rsidRDefault="0038061C" w:rsidP="00FD1A75">
            <w:pPr>
              <w:jc w:val="center"/>
              <w:rPr>
                <w:b/>
              </w:rPr>
            </w:pPr>
            <w:r w:rsidRPr="00FD1A75">
              <w:rPr>
                <w:b/>
              </w:rPr>
              <w:t>2019/20</w:t>
            </w:r>
          </w:p>
        </w:tc>
        <w:tc>
          <w:tcPr>
            <w:tcW w:w="338" w:type="pct"/>
            <w:shd w:val="clear" w:color="auto" w:fill="9CC2E5" w:themeFill="accent1" w:themeFillTint="99"/>
          </w:tcPr>
          <w:p w14:paraId="5AC53936" w14:textId="77777777" w:rsidR="0038061C" w:rsidRPr="00066C43" w:rsidRDefault="0038061C" w:rsidP="00FD1A75">
            <w:pPr>
              <w:jc w:val="center"/>
            </w:pPr>
          </w:p>
        </w:tc>
      </w:tr>
      <w:tr w:rsidR="0038061C" w:rsidRPr="00FD1A75" w14:paraId="558B962A" w14:textId="5B30B391" w:rsidTr="00B34268">
        <w:tc>
          <w:tcPr>
            <w:tcW w:w="1640" w:type="pct"/>
          </w:tcPr>
          <w:p w14:paraId="75BAAD64" w14:textId="77777777" w:rsidR="0038061C" w:rsidRPr="00FD1A75" w:rsidRDefault="0038061C" w:rsidP="00FD1A75">
            <w:r w:rsidRPr="00FD1A75">
              <w:t>% Applications</w:t>
            </w:r>
          </w:p>
        </w:tc>
        <w:tc>
          <w:tcPr>
            <w:tcW w:w="975" w:type="pct"/>
          </w:tcPr>
          <w:p w14:paraId="159AD755" w14:textId="77777777" w:rsidR="0038061C" w:rsidRPr="00FD1A75" w:rsidRDefault="0038061C" w:rsidP="00FD1A75">
            <w:pPr>
              <w:jc w:val="center"/>
            </w:pPr>
            <w:r w:rsidRPr="00FD1A75">
              <w:t>5.9%</w:t>
            </w:r>
          </w:p>
        </w:tc>
        <w:tc>
          <w:tcPr>
            <w:tcW w:w="1035" w:type="pct"/>
          </w:tcPr>
          <w:p w14:paraId="7043910C" w14:textId="77777777" w:rsidR="0038061C" w:rsidRPr="00FD1A75" w:rsidRDefault="0038061C" w:rsidP="00FD1A75">
            <w:pPr>
              <w:jc w:val="center"/>
            </w:pPr>
            <w:r w:rsidRPr="00FD1A75">
              <w:t>6.7%</w:t>
            </w:r>
          </w:p>
        </w:tc>
        <w:tc>
          <w:tcPr>
            <w:tcW w:w="1013" w:type="pct"/>
          </w:tcPr>
          <w:p w14:paraId="6B2069E6" w14:textId="77777777" w:rsidR="0038061C" w:rsidRPr="00FD1A75" w:rsidRDefault="0038061C" w:rsidP="00FD1A75">
            <w:pPr>
              <w:jc w:val="center"/>
            </w:pPr>
            <w:r w:rsidRPr="00FD1A75">
              <w:t>5.4%</w:t>
            </w:r>
          </w:p>
        </w:tc>
        <w:tc>
          <w:tcPr>
            <w:tcW w:w="338" w:type="pct"/>
          </w:tcPr>
          <w:p w14:paraId="7665B18A" w14:textId="23766809" w:rsidR="0038061C" w:rsidRPr="00066C43" w:rsidRDefault="0038061C" w:rsidP="00FD1A75">
            <w:pPr>
              <w:jc w:val="center"/>
            </w:pPr>
            <w:r w:rsidRPr="00066C43">
              <w:rPr>
                <w:rFonts w:cstheme="minorHAnsi"/>
              </w:rPr>
              <w:t>↓</w:t>
            </w:r>
          </w:p>
        </w:tc>
      </w:tr>
      <w:tr w:rsidR="0038061C" w:rsidRPr="00FD1A75" w14:paraId="08106436" w14:textId="3659029B" w:rsidTr="00B34268">
        <w:tc>
          <w:tcPr>
            <w:tcW w:w="1640" w:type="pct"/>
          </w:tcPr>
          <w:p w14:paraId="670C9B9A" w14:textId="77777777" w:rsidR="0038061C" w:rsidRPr="00FD1A75" w:rsidRDefault="0038061C" w:rsidP="00FD1A75">
            <w:r w:rsidRPr="00FD1A75">
              <w:t>% Invited to Interview</w:t>
            </w:r>
          </w:p>
        </w:tc>
        <w:tc>
          <w:tcPr>
            <w:tcW w:w="975" w:type="pct"/>
          </w:tcPr>
          <w:p w14:paraId="69BA54AF" w14:textId="77777777" w:rsidR="0038061C" w:rsidRPr="00FD1A75" w:rsidRDefault="0038061C" w:rsidP="00FD1A75">
            <w:pPr>
              <w:jc w:val="center"/>
            </w:pPr>
            <w:r w:rsidRPr="00FD1A75">
              <w:t>7.1%</w:t>
            </w:r>
          </w:p>
        </w:tc>
        <w:tc>
          <w:tcPr>
            <w:tcW w:w="1035" w:type="pct"/>
          </w:tcPr>
          <w:p w14:paraId="2C4FB370" w14:textId="77777777" w:rsidR="0038061C" w:rsidRPr="00FD1A75" w:rsidRDefault="0038061C" w:rsidP="00FD1A75">
            <w:pPr>
              <w:jc w:val="center"/>
            </w:pPr>
            <w:r w:rsidRPr="00FD1A75">
              <w:t>8.1%</w:t>
            </w:r>
          </w:p>
        </w:tc>
        <w:tc>
          <w:tcPr>
            <w:tcW w:w="1013" w:type="pct"/>
          </w:tcPr>
          <w:p w14:paraId="08A39ED1" w14:textId="77777777" w:rsidR="0038061C" w:rsidRPr="00FD1A75" w:rsidRDefault="0038061C" w:rsidP="00FD1A75">
            <w:pPr>
              <w:jc w:val="center"/>
            </w:pPr>
            <w:r w:rsidRPr="00FD1A75">
              <w:t>10.4%</w:t>
            </w:r>
          </w:p>
        </w:tc>
        <w:tc>
          <w:tcPr>
            <w:tcW w:w="338" w:type="pct"/>
          </w:tcPr>
          <w:p w14:paraId="0FC5B75F" w14:textId="5533A246" w:rsidR="0038061C" w:rsidRPr="00066C43" w:rsidRDefault="00B34268" w:rsidP="00FD1A75">
            <w:pPr>
              <w:jc w:val="center"/>
            </w:pPr>
            <w:r w:rsidRPr="00066C43">
              <w:t>↑</w:t>
            </w:r>
          </w:p>
        </w:tc>
      </w:tr>
      <w:tr w:rsidR="0038061C" w:rsidRPr="00FD1A75" w14:paraId="525E5A3B" w14:textId="2F1880CB" w:rsidTr="00B34268">
        <w:tc>
          <w:tcPr>
            <w:tcW w:w="1640" w:type="pct"/>
          </w:tcPr>
          <w:p w14:paraId="77E12C81" w14:textId="77777777" w:rsidR="0038061C" w:rsidRPr="00FD1A75" w:rsidRDefault="0038061C" w:rsidP="00FD1A75">
            <w:r w:rsidRPr="00FD1A75">
              <w:t>% Post Offered</w:t>
            </w:r>
          </w:p>
        </w:tc>
        <w:tc>
          <w:tcPr>
            <w:tcW w:w="975" w:type="pct"/>
          </w:tcPr>
          <w:p w14:paraId="1475363F" w14:textId="77777777" w:rsidR="0038061C" w:rsidRPr="00FD1A75" w:rsidRDefault="0038061C" w:rsidP="00FD1A75">
            <w:pPr>
              <w:jc w:val="center"/>
            </w:pPr>
            <w:r w:rsidRPr="00FD1A75">
              <w:t>3.1%</w:t>
            </w:r>
          </w:p>
        </w:tc>
        <w:tc>
          <w:tcPr>
            <w:tcW w:w="1035" w:type="pct"/>
          </w:tcPr>
          <w:p w14:paraId="6FAEB938" w14:textId="77777777" w:rsidR="0038061C" w:rsidRPr="00FD1A75" w:rsidRDefault="0038061C" w:rsidP="00FD1A75">
            <w:pPr>
              <w:jc w:val="center"/>
            </w:pPr>
            <w:r w:rsidRPr="00FD1A75">
              <w:t>4.9%</w:t>
            </w:r>
          </w:p>
        </w:tc>
        <w:tc>
          <w:tcPr>
            <w:tcW w:w="1013" w:type="pct"/>
          </w:tcPr>
          <w:p w14:paraId="1D048B3D" w14:textId="77777777" w:rsidR="0038061C" w:rsidRPr="00FD1A75" w:rsidRDefault="0038061C" w:rsidP="00FD1A75">
            <w:pPr>
              <w:jc w:val="center"/>
            </w:pPr>
            <w:r w:rsidRPr="00FD1A75">
              <w:t>4.6</w:t>
            </w:r>
            <w:r>
              <w:t>%</w:t>
            </w:r>
          </w:p>
        </w:tc>
        <w:tc>
          <w:tcPr>
            <w:tcW w:w="338" w:type="pct"/>
          </w:tcPr>
          <w:p w14:paraId="5A11B7F2" w14:textId="1081E8FB" w:rsidR="0038061C" w:rsidRPr="00066C43" w:rsidRDefault="0038061C" w:rsidP="00FD1A75">
            <w:pPr>
              <w:jc w:val="center"/>
            </w:pPr>
            <w:r w:rsidRPr="00066C43">
              <w:rPr>
                <w:rFonts w:cstheme="minorHAnsi"/>
              </w:rPr>
              <w:t>↓</w:t>
            </w:r>
          </w:p>
        </w:tc>
      </w:tr>
    </w:tbl>
    <w:p w14:paraId="08B876AF" w14:textId="77777777" w:rsidR="00FD1A75" w:rsidRPr="00FD1A75" w:rsidRDefault="00FD1A75" w:rsidP="00467BC2">
      <w:pPr>
        <w:pStyle w:val="Heading3"/>
        <w:numPr>
          <w:ilvl w:val="2"/>
          <w:numId w:val="4"/>
        </w:numPr>
      </w:pPr>
      <w:bookmarkStart w:id="49" w:name="_Toc55202785"/>
      <w:bookmarkStart w:id="50" w:name="_Toc55219257"/>
      <w:bookmarkStart w:id="51" w:name="_Toc55241652"/>
      <w:bookmarkStart w:id="52" w:name="_Toc55573533"/>
      <w:bookmarkStart w:id="53" w:name="_Toc57023231"/>
      <w:bookmarkStart w:id="54" w:name="_Toc63432746"/>
      <w:r w:rsidRPr="00FD1A75">
        <w:t>Ethnicity % People of Colour</w:t>
      </w:r>
      <w:bookmarkEnd w:id="49"/>
      <w:bookmarkEnd w:id="50"/>
      <w:bookmarkEnd w:id="51"/>
      <w:bookmarkEnd w:id="52"/>
      <w:bookmarkEnd w:id="53"/>
      <w:bookmarkEnd w:id="54"/>
    </w:p>
    <w:tbl>
      <w:tblPr>
        <w:tblStyle w:val="TableGrid"/>
        <w:tblW w:w="5000" w:type="pct"/>
        <w:tblLook w:val="04A0" w:firstRow="1" w:lastRow="0" w:firstColumn="1" w:lastColumn="0" w:noHBand="0" w:noVBand="1"/>
      </w:tblPr>
      <w:tblGrid>
        <w:gridCol w:w="2957"/>
        <w:gridCol w:w="1758"/>
        <w:gridCol w:w="1866"/>
        <w:gridCol w:w="1827"/>
        <w:gridCol w:w="608"/>
      </w:tblGrid>
      <w:tr w:rsidR="0038061C" w:rsidRPr="00FD1A75" w14:paraId="5800F594" w14:textId="2470E1CB" w:rsidTr="00B34268">
        <w:tc>
          <w:tcPr>
            <w:tcW w:w="1640" w:type="pct"/>
            <w:shd w:val="clear" w:color="auto" w:fill="9CC2E5" w:themeFill="accent1" w:themeFillTint="99"/>
          </w:tcPr>
          <w:p w14:paraId="27ADC49C" w14:textId="77777777" w:rsidR="0038061C" w:rsidRPr="00FD1A75" w:rsidRDefault="0038061C" w:rsidP="00FD1A75"/>
        </w:tc>
        <w:tc>
          <w:tcPr>
            <w:tcW w:w="975" w:type="pct"/>
            <w:shd w:val="clear" w:color="auto" w:fill="9CC2E5" w:themeFill="accent1" w:themeFillTint="99"/>
          </w:tcPr>
          <w:p w14:paraId="505C4E84" w14:textId="77777777" w:rsidR="0038061C" w:rsidRPr="00FD1A75" w:rsidRDefault="0038061C" w:rsidP="00FD1A75">
            <w:pPr>
              <w:jc w:val="center"/>
              <w:rPr>
                <w:b/>
              </w:rPr>
            </w:pPr>
            <w:r w:rsidRPr="00FD1A75">
              <w:rPr>
                <w:b/>
              </w:rPr>
              <w:t>2017/18</w:t>
            </w:r>
          </w:p>
        </w:tc>
        <w:tc>
          <w:tcPr>
            <w:tcW w:w="1035" w:type="pct"/>
            <w:shd w:val="clear" w:color="auto" w:fill="9CC2E5" w:themeFill="accent1" w:themeFillTint="99"/>
          </w:tcPr>
          <w:p w14:paraId="003D007D" w14:textId="77777777" w:rsidR="0038061C" w:rsidRPr="00FD1A75" w:rsidRDefault="0038061C" w:rsidP="00FD1A75">
            <w:pPr>
              <w:jc w:val="center"/>
              <w:rPr>
                <w:b/>
              </w:rPr>
            </w:pPr>
            <w:r w:rsidRPr="00FD1A75">
              <w:rPr>
                <w:b/>
              </w:rPr>
              <w:t>2018/19</w:t>
            </w:r>
          </w:p>
        </w:tc>
        <w:tc>
          <w:tcPr>
            <w:tcW w:w="1013" w:type="pct"/>
            <w:shd w:val="clear" w:color="auto" w:fill="9CC2E5" w:themeFill="accent1" w:themeFillTint="99"/>
          </w:tcPr>
          <w:p w14:paraId="3F48696B" w14:textId="77777777" w:rsidR="0038061C" w:rsidRPr="00FD1A75" w:rsidRDefault="0038061C" w:rsidP="00FD1A75">
            <w:pPr>
              <w:jc w:val="center"/>
              <w:rPr>
                <w:b/>
              </w:rPr>
            </w:pPr>
            <w:r w:rsidRPr="00FD1A75">
              <w:rPr>
                <w:b/>
              </w:rPr>
              <w:t>2019/20</w:t>
            </w:r>
          </w:p>
        </w:tc>
        <w:tc>
          <w:tcPr>
            <w:tcW w:w="338" w:type="pct"/>
            <w:shd w:val="clear" w:color="auto" w:fill="9CC2E5" w:themeFill="accent1" w:themeFillTint="99"/>
          </w:tcPr>
          <w:p w14:paraId="1992E7FD" w14:textId="77777777" w:rsidR="0038061C" w:rsidRPr="00066C43" w:rsidRDefault="0038061C" w:rsidP="00FD1A75">
            <w:pPr>
              <w:jc w:val="center"/>
            </w:pPr>
          </w:p>
        </w:tc>
      </w:tr>
      <w:tr w:rsidR="0038061C" w:rsidRPr="00FD1A75" w14:paraId="13A407FD" w14:textId="33DA9413" w:rsidTr="00B34268">
        <w:tc>
          <w:tcPr>
            <w:tcW w:w="1640" w:type="pct"/>
          </w:tcPr>
          <w:p w14:paraId="37DA1079" w14:textId="77777777" w:rsidR="0038061C" w:rsidRPr="00FD1A75" w:rsidRDefault="0038061C" w:rsidP="00FD1A75">
            <w:r w:rsidRPr="00FD1A75">
              <w:t>% Applications</w:t>
            </w:r>
          </w:p>
        </w:tc>
        <w:tc>
          <w:tcPr>
            <w:tcW w:w="975" w:type="pct"/>
          </w:tcPr>
          <w:p w14:paraId="43B6C667" w14:textId="77777777" w:rsidR="0038061C" w:rsidRPr="00FD1A75" w:rsidRDefault="0038061C" w:rsidP="00FD1A75">
            <w:pPr>
              <w:jc w:val="center"/>
            </w:pPr>
            <w:r w:rsidRPr="00FD1A75">
              <w:t>21.3%</w:t>
            </w:r>
          </w:p>
        </w:tc>
        <w:tc>
          <w:tcPr>
            <w:tcW w:w="1035" w:type="pct"/>
          </w:tcPr>
          <w:p w14:paraId="55E62C17" w14:textId="77777777" w:rsidR="0038061C" w:rsidRPr="00FD1A75" w:rsidRDefault="0038061C" w:rsidP="00FD1A75">
            <w:pPr>
              <w:jc w:val="center"/>
            </w:pPr>
            <w:r w:rsidRPr="00FD1A75">
              <w:t>22.5%</w:t>
            </w:r>
          </w:p>
        </w:tc>
        <w:tc>
          <w:tcPr>
            <w:tcW w:w="1013" w:type="pct"/>
          </w:tcPr>
          <w:p w14:paraId="7A3663EA" w14:textId="77777777" w:rsidR="0038061C" w:rsidRPr="00FD1A75" w:rsidRDefault="0038061C" w:rsidP="00FD1A75">
            <w:pPr>
              <w:jc w:val="center"/>
            </w:pPr>
            <w:r w:rsidRPr="00FD1A75">
              <w:t>27.0%</w:t>
            </w:r>
          </w:p>
        </w:tc>
        <w:tc>
          <w:tcPr>
            <w:tcW w:w="338" w:type="pct"/>
          </w:tcPr>
          <w:p w14:paraId="636F7B76" w14:textId="38E5413B" w:rsidR="0038061C" w:rsidRPr="00066C43" w:rsidRDefault="00B34268" w:rsidP="00FD1A75">
            <w:pPr>
              <w:jc w:val="center"/>
            </w:pPr>
            <w:r w:rsidRPr="00066C43">
              <w:t>↑</w:t>
            </w:r>
          </w:p>
        </w:tc>
      </w:tr>
      <w:tr w:rsidR="0038061C" w:rsidRPr="00FD1A75" w14:paraId="73C06E46" w14:textId="46E0408C" w:rsidTr="00B34268">
        <w:tc>
          <w:tcPr>
            <w:tcW w:w="1640" w:type="pct"/>
          </w:tcPr>
          <w:p w14:paraId="16D331AE" w14:textId="77777777" w:rsidR="0038061C" w:rsidRPr="00FD1A75" w:rsidRDefault="0038061C" w:rsidP="00FD1A75">
            <w:r w:rsidRPr="00FD1A75">
              <w:t>% Invited to Interview</w:t>
            </w:r>
          </w:p>
        </w:tc>
        <w:tc>
          <w:tcPr>
            <w:tcW w:w="975" w:type="pct"/>
          </w:tcPr>
          <w:p w14:paraId="3F259F9A" w14:textId="77777777" w:rsidR="0038061C" w:rsidRPr="00FD1A75" w:rsidRDefault="0038061C" w:rsidP="00FD1A75">
            <w:pPr>
              <w:jc w:val="center"/>
            </w:pPr>
            <w:r w:rsidRPr="00FD1A75">
              <w:t>16.4%</w:t>
            </w:r>
          </w:p>
        </w:tc>
        <w:tc>
          <w:tcPr>
            <w:tcW w:w="1035" w:type="pct"/>
          </w:tcPr>
          <w:p w14:paraId="2168A40C" w14:textId="77777777" w:rsidR="0038061C" w:rsidRPr="00FD1A75" w:rsidRDefault="0038061C" w:rsidP="00FD1A75">
            <w:pPr>
              <w:jc w:val="center"/>
            </w:pPr>
            <w:r w:rsidRPr="00FD1A75">
              <w:t>16.3%</w:t>
            </w:r>
          </w:p>
        </w:tc>
        <w:tc>
          <w:tcPr>
            <w:tcW w:w="1013" w:type="pct"/>
          </w:tcPr>
          <w:p w14:paraId="466A36AD" w14:textId="77777777" w:rsidR="0038061C" w:rsidRPr="00FD1A75" w:rsidRDefault="0038061C" w:rsidP="00FD1A75">
            <w:pPr>
              <w:jc w:val="center"/>
            </w:pPr>
            <w:r w:rsidRPr="00FD1A75">
              <w:t>19.2%</w:t>
            </w:r>
          </w:p>
        </w:tc>
        <w:tc>
          <w:tcPr>
            <w:tcW w:w="338" w:type="pct"/>
          </w:tcPr>
          <w:p w14:paraId="24191D2B" w14:textId="4E043A31" w:rsidR="0038061C" w:rsidRPr="00066C43" w:rsidRDefault="00B34268" w:rsidP="00FD1A75">
            <w:pPr>
              <w:jc w:val="center"/>
            </w:pPr>
            <w:r w:rsidRPr="00066C43">
              <w:t>↑</w:t>
            </w:r>
          </w:p>
        </w:tc>
      </w:tr>
      <w:tr w:rsidR="0038061C" w:rsidRPr="00FD1A75" w14:paraId="29CA401D" w14:textId="7280BA15" w:rsidTr="00B34268">
        <w:tc>
          <w:tcPr>
            <w:tcW w:w="1640" w:type="pct"/>
          </w:tcPr>
          <w:p w14:paraId="3853750E" w14:textId="77777777" w:rsidR="0038061C" w:rsidRPr="00FD1A75" w:rsidRDefault="0038061C" w:rsidP="00FD1A75">
            <w:r w:rsidRPr="00FD1A75">
              <w:t>% Post Offered</w:t>
            </w:r>
          </w:p>
        </w:tc>
        <w:tc>
          <w:tcPr>
            <w:tcW w:w="975" w:type="pct"/>
          </w:tcPr>
          <w:p w14:paraId="74BE7D37" w14:textId="77777777" w:rsidR="0038061C" w:rsidRPr="00FD1A75" w:rsidRDefault="0038061C" w:rsidP="00FD1A75">
            <w:pPr>
              <w:jc w:val="center"/>
            </w:pPr>
            <w:r w:rsidRPr="00FD1A75">
              <w:t>14.6%</w:t>
            </w:r>
          </w:p>
        </w:tc>
        <w:tc>
          <w:tcPr>
            <w:tcW w:w="1035" w:type="pct"/>
          </w:tcPr>
          <w:p w14:paraId="4AD68CBC" w14:textId="77777777" w:rsidR="0038061C" w:rsidRPr="00FD1A75" w:rsidRDefault="0038061C" w:rsidP="00FD1A75">
            <w:pPr>
              <w:jc w:val="center"/>
            </w:pPr>
            <w:r w:rsidRPr="00FD1A75">
              <w:t>16.5%</w:t>
            </w:r>
          </w:p>
        </w:tc>
        <w:tc>
          <w:tcPr>
            <w:tcW w:w="1013" w:type="pct"/>
          </w:tcPr>
          <w:p w14:paraId="23E1D58D" w14:textId="77777777" w:rsidR="0038061C" w:rsidRPr="00FD1A75" w:rsidRDefault="0038061C" w:rsidP="00FD1A75">
            <w:pPr>
              <w:jc w:val="center"/>
            </w:pPr>
            <w:r w:rsidRPr="00FD1A75">
              <w:t>17.1%</w:t>
            </w:r>
          </w:p>
        </w:tc>
        <w:tc>
          <w:tcPr>
            <w:tcW w:w="338" w:type="pct"/>
          </w:tcPr>
          <w:p w14:paraId="4F6FB210" w14:textId="133947C4" w:rsidR="0038061C" w:rsidRPr="00066C43" w:rsidRDefault="00B34268" w:rsidP="00FD1A75">
            <w:pPr>
              <w:jc w:val="center"/>
            </w:pPr>
            <w:r w:rsidRPr="00066C43">
              <w:t>↑</w:t>
            </w:r>
          </w:p>
        </w:tc>
      </w:tr>
    </w:tbl>
    <w:p w14:paraId="4F0A73B9" w14:textId="77777777" w:rsidR="00FD1A75" w:rsidRPr="00FD1A75" w:rsidRDefault="00FD1A75" w:rsidP="00467BC2">
      <w:pPr>
        <w:pStyle w:val="Heading3"/>
        <w:numPr>
          <w:ilvl w:val="2"/>
          <w:numId w:val="4"/>
        </w:numPr>
      </w:pPr>
      <w:bookmarkStart w:id="55" w:name="_Toc55202786"/>
      <w:bookmarkStart w:id="56" w:name="_Toc55219258"/>
      <w:bookmarkStart w:id="57" w:name="_Toc55241653"/>
      <w:bookmarkStart w:id="58" w:name="_Toc55573534"/>
      <w:bookmarkStart w:id="59" w:name="_Toc57023232"/>
      <w:bookmarkStart w:id="60" w:name="_Toc63432747"/>
      <w:r w:rsidRPr="00FD1A75">
        <w:t>Ethnicity % People of Colour (UK DOM)</w:t>
      </w:r>
      <w:bookmarkEnd w:id="55"/>
      <w:bookmarkEnd w:id="56"/>
      <w:bookmarkEnd w:id="57"/>
      <w:bookmarkEnd w:id="58"/>
      <w:bookmarkEnd w:id="59"/>
      <w:bookmarkEnd w:id="60"/>
    </w:p>
    <w:tbl>
      <w:tblPr>
        <w:tblStyle w:val="TableGrid"/>
        <w:tblW w:w="5000" w:type="pct"/>
        <w:tblLook w:val="04A0" w:firstRow="1" w:lastRow="0" w:firstColumn="1" w:lastColumn="0" w:noHBand="0" w:noVBand="1"/>
      </w:tblPr>
      <w:tblGrid>
        <w:gridCol w:w="2957"/>
        <w:gridCol w:w="1758"/>
        <w:gridCol w:w="1866"/>
        <w:gridCol w:w="1827"/>
        <w:gridCol w:w="608"/>
      </w:tblGrid>
      <w:tr w:rsidR="0038061C" w:rsidRPr="00FD1A75" w14:paraId="6A770C31" w14:textId="410F2023" w:rsidTr="00B34268">
        <w:tc>
          <w:tcPr>
            <w:tcW w:w="1640" w:type="pct"/>
            <w:shd w:val="clear" w:color="auto" w:fill="9CC2E5" w:themeFill="accent1" w:themeFillTint="99"/>
          </w:tcPr>
          <w:p w14:paraId="5F065C38" w14:textId="77777777" w:rsidR="0038061C" w:rsidRPr="00FD1A75" w:rsidRDefault="0038061C" w:rsidP="00FD1A75"/>
        </w:tc>
        <w:tc>
          <w:tcPr>
            <w:tcW w:w="975" w:type="pct"/>
            <w:shd w:val="clear" w:color="auto" w:fill="9CC2E5" w:themeFill="accent1" w:themeFillTint="99"/>
          </w:tcPr>
          <w:p w14:paraId="120CAC49" w14:textId="77777777" w:rsidR="0038061C" w:rsidRPr="00FD1A75" w:rsidRDefault="0038061C" w:rsidP="00FD1A75">
            <w:pPr>
              <w:jc w:val="center"/>
              <w:rPr>
                <w:b/>
              </w:rPr>
            </w:pPr>
            <w:r w:rsidRPr="00FD1A75">
              <w:rPr>
                <w:b/>
              </w:rPr>
              <w:t>2017/18</w:t>
            </w:r>
          </w:p>
        </w:tc>
        <w:tc>
          <w:tcPr>
            <w:tcW w:w="1035" w:type="pct"/>
            <w:shd w:val="clear" w:color="auto" w:fill="9CC2E5" w:themeFill="accent1" w:themeFillTint="99"/>
          </w:tcPr>
          <w:p w14:paraId="0B3A1B21" w14:textId="77777777" w:rsidR="0038061C" w:rsidRPr="00FD1A75" w:rsidRDefault="0038061C" w:rsidP="00FD1A75">
            <w:pPr>
              <w:jc w:val="center"/>
              <w:rPr>
                <w:b/>
              </w:rPr>
            </w:pPr>
            <w:r w:rsidRPr="00FD1A75">
              <w:rPr>
                <w:b/>
              </w:rPr>
              <w:t>2018/19</w:t>
            </w:r>
          </w:p>
        </w:tc>
        <w:tc>
          <w:tcPr>
            <w:tcW w:w="1013" w:type="pct"/>
            <w:shd w:val="clear" w:color="auto" w:fill="9CC2E5" w:themeFill="accent1" w:themeFillTint="99"/>
          </w:tcPr>
          <w:p w14:paraId="4F2F73B7" w14:textId="77777777" w:rsidR="0038061C" w:rsidRPr="00FD1A75" w:rsidRDefault="0038061C" w:rsidP="00FD1A75">
            <w:pPr>
              <w:jc w:val="center"/>
              <w:rPr>
                <w:b/>
              </w:rPr>
            </w:pPr>
            <w:r w:rsidRPr="00FD1A75">
              <w:rPr>
                <w:b/>
              </w:rPr>
              <w:t>2019/20</w:t>
            </w:r>
          </w:p>
        </w:tc>
        <w:tc>
          <w:tcPr>
            <w:tcW w:w="338" w:type="pct"/>
            <w:shd w:val="clear" w:color="auto" w:fill="9CC2E5" w:themeFill="accent1" w:themeFillTint="99"/>
          </w:tcPr>
          <w:p w14:paraId="7C50C5F6" w14:textId="77777777" w:rsidR="0038061C" w:rsidRPr="00066C43" w:rsidRDefault="0038061C" w:rsidP="00FD1A75">
            <w:pPr>
              <w:jc w:val="center"/>
            </w:pPr>
          </w:p>
        </w:tc>
      </w:tr>
      <w:tr w:rsidR="0038061C" w:rsidRPr="00FD1A75" w14:paraId="59A66A1A" w14:textId="41C77A1C" w:rsidTr="00B34268">
        <w:tc>
          <w:tcPr>
            <w:tcW w:w="1640" w:type="pct"/>
          </w:tcPr>
          <w:p w14:paraId="741BB666" w14:textId="77777777" w:rsidR="0038061C" w:rsidRPr="00FD1A75" w:rsidRDefault="0038061C" w:rsidP="00FD1A75">
            <w:r w:rsidRPr="00FD1A75">
              <w:t>% Applications</w:t>
            </w:r>
          </w:p>
        </w:tc>
        <w:tc>
          <w:tcPr>
            <w:tcW w:w="975" w:type="pct"/>
          </w:tcPr>
          <w:p w14:paraId="663157E5" w14:textId="77777777" w:rsidR="0038061C" w:rsidRPr="00FD1A75" w:rsidRDefault="0038061C" w:rsidP="00FD1A75">
            <w:pPr>
              <w:jc w:val="center"/>
            </w:pPr>
            <w:r w:rsidRPr="00FD1A75">
              <w:t>6.5%</w:t>
            </w:r>
          </w:p>
        </w:tc>
        <w:tc>
          <w:tcPr>
            <w:tcW w:w="1035" w:type="pct"/>
          </w:tcPr>
          <w:p w14:paraId="0E05DB50" w14:textId="77777777" w:rsidR="0038061C" w:rsidRPr="00FD1A75" w:rsidRDefault="0038061C" w:rsidP="00FD1A75">
            <w:pPr>
              <w:jc w:val="center"/>
            </w:pPr>
            <w:r w:rsidRPr="00FD1A75">
              <w:t>6.5%</w:t>
            </w:r>
          </w:p>
        </w:tc>
        <w:tc>
          <w:tcPr>
            <w:tcW w:w="1013" w:type="pct"/>
          </w:tcPr>
          <w:p w14:paraId="11BB4DDA" w14:textId="77777777" w:rsidR="0038061C" w:rsidRPr="00FD1A75" w:rsidRDefault="0038061C" w:rsidP="00FD1A75">
            <w:pPr>
              <w:jc w:val="center"/>
            </w:pPr>
            <w:r w:rsidRPr="00FD1A75">
              <w:t>6.9%</w:t>
            </w:r>
          </w:p>
        </w:tc>
        <w:tc>
          <w:tcPr>
            <w:tcW w:w="338" w:type="pct"/>
          </w:tcPr>
          <w:p w14:paraId="1CA454DF" w14:textId="1782D524" w:rsidR="0038061C" w:rsidRPr="00066C43" w:rsidRDefault="00B34268" w:rsidP="00FD1A75">
            <w:pPr>
              <w:jc w:val="center"/>
            </w:pPr>
            <w:r w:rsidRPr="00066C43">
              <w:t>↑</w:t>
            </w:r>
          </w:p>
        </w:tc>
      </w:tr>
      <w:tr w:rsidR="0038061C" w:rsidRPr="00FD1A75" w14:paraId="59E9BA39" w14:textId="6758BA8A" w:rsidTr="00B34268">
        <w:tc>
          <w:tcPr>
            <w:tcW w:w="1640" w:type="pct"/>
          </w:tcPr>
          <w:p w14:paraId="60415357" w14:textId="77777777" w:rsidR="0038061C" w:rsidRPr="00FD1A75" w:rsidRDefault="0038061C" w:rsidP="00FD1A75">
            <w:r w:rsidRPr="00FD1A75">
              <w:t>% Invited to Interview</w:t>
            </w:r>
          </w:p>
        </w:tc>
        <w:tc>
          <w:tcPr>
            <w:tcW w:w="975" w:type="pct"/>
          </w:tcPr>
          <w:p w14:paraId="45272006" w14:textId="77777777" w:rsidR="0038061C" w:rsidRPr="00FD1A75" w:rsidRDefault="0038061C" w:rsidP="00FD1A75">
            <w:pPr>
              <w:jc w:val="center"/>
            </w:pPr>
            <w:r w:rsidRPr="00FD1A75">
              <w:t>6.6%</w:t>
            </w:r>
          </w:p>
        </w:tc>
        <w:tc>
          <w:tcPr>
            <w:tcW w:w="1035" w:type="pct"/>
          </w:tcPr>
          <w:p w14:paraId="090463D8" w14:textId="77777777" w:rsidR="0038061C" w:rsidRPr="00FD1A75" w:rsidRDefault="0038061C" w:rsidP="00FD1A75">
            <w:pPr>
              <w:jc w:val="center"/>
            </w:pPr>
            <w:r w:rsidRPr="00FD1A75">
              <w:t>5.2%</w:t>
            </w:r>
          </w:p>
        </w:tc>
        <w:tc>
          <w:tcPr>
            <w:tcW w:w="1013" w:type="pct"/>
          </w:tcPr>
          <w:p w14:paraId="08770AE5" w14:textId="77777777" w:rsidR="0038061C" w:rsidRPr="00FD1A75" w:rsidRDefault="0038061C" w:rsidP="00FD1A75">
            <w:pPr>
              <w:jc w:val="center"/>
            </w:pPr>
            <w:r w:rsidRPr="00FD1A75">
              <w:t>5.6%</w:t>
            </w:r>
          </w:p>
        </w:tc>
        <w:tc>
          <w:tcPr>
            <w:tcW w:w="338" w:type="pct"/>
          </w:tcPr>
          <w:p w14:paraId="51F91D91" w14:textId="11377CA1" w:rsidR="0038061C" w:rsidRPr="00066C43" w:rsidRDefault="00B34268" w:rsidP="00FD1A75">
            <w:pPr>
              <w:jc w:val="center"/>
            </w:pPr>
            <w:r w:rsidRPr="00066C43">
              <w:t>↑</w:t>
            </w:r>
          </w:p>
        </w:tc>
      </w:tr>
      <w:tr w:rsidR="0038061C" w:rsidRPr="00FD1A75" w14:paraId="1119DFAE" w14:textId="5CF030EB" w:rsidTr="00B34268">
        <w:tc>
          <w:tcPr>
            <w:tcW w:w="1640" w:type="pct"/>
          </w:tcPr>
          <w:p w14:paraId="7699FE09" w14:textId="77777777" w:rsidR="0038061C" w:rsidRPr="00FD1A75" w:rsidRDefault="0038061C" w:rsidP="00FD1A75">
            <w:r w:rsidRPr="00FD1A75">
              <w:t>% Post Offered</w:t>
            </w:r>
          </w:p>
        </w:tc>
        <w:tc>
          <w:tcPr>
            <w:tcW w:w="975" w:type="pct"/>
          </w:tcPr>
          <w:p w14:paraId="0CB39D9A" w14:textId="77777777" w:rsidR="0038061C" w:rsidRPr="00FD1A75" w:rsidRDefault="0038061C" w:rsidP="00FD1A75">
            <w:pPr>
              <w:jc w:val="center"/>
            </w:pPr>
            <w:r w:rsidRPr="00FD1A75">
              <w:t>6.1%</w:t>
            </w:r>
          </w:p>
        </w:tc>
        <w:tc>
          <w:tcPr>
            <w:tcW w:w="1035" w:type="pct"/>
          </w:tcPr>
          <w:p w14:paraId="61B1DA03" w14:textId="77777777" w:rsidR="0038061C" w:rsidRPr="00FD1A75" w:rsidRDefault="0038061C" w:rsidP="00FD1A75">
            <w:pPr>
              <w:jc w:val="center"/>
            </w:pPr>
            <w:r w:rsidRPr="00FD1A75">
              <w:t>4.9%</w:t>
            </w:r>
          </w:p>
        </w:tc>
        <w:tc>
          <w:tcPr>
            <w:tcW w:w="1013" w:type="pct"/>
          </w:tcPr>
          <w:p w14:paraId="7F058059" w14:textId="77777777" w:rsidR="0038061C" w:rsidRPr="00FD1A75" w:rsidRDefault="0038061C" w:rsidP="00FD1A75">
            <w:pPr>
              <w:jc w:val="center"/>
            </w:pPr>
            <w:r w:rsidRPr="00FD1A75">
              <w:t>7.3%</w:t>
            </w:r>
          </w:p>
        </w:tc>
        <w:tc>
          <w:tcPr>
            <w:tcW w:w="338" w:type="pct"/>
          </w:tcPr>
          <w:p w14:paraId="0591A122" w14:textId="627C63AF" w:rsidR="0038061C" w:rsidRPr="00066C43" w:rsidRDefault="00B34268" w:rsidP="00FD1A75">
            <w:pPr>
              <w:jc w:val="center"/>
            </w:pPr>
            <w:r w:rsidRPr="00066C43">
              <w:t>↑</w:t>
            </w:r>
          </w:p>
        </w:tc>
      </w:tr>
    </w:tbl>
    <w:p w14:paraId="28A6C7BE" w14:textId="77777777" w:rsidR="00FD1A75" w:rsidRDefault="00FD1A75" w:rsidP="00467BC2">
      <w:pPr>
        <w:pStyle w:val="Heading2"/>
        <w:numPr>
          <w:ilvl w:val="1"/>
          <w:numId w:val="4"/>
        </w:numPr>
      </w:pPr>
      <w:bookmarkStart w:id="61" w:name="_Toc55202787"/>
      <w:bookmarkStart w:id="62" w:name="_Toc55219259"/>
      <w:bookmarkStart w:id="63" w:name="_Toc55573535"/>
      <w:bookmarkStart w:id="64" w:name="_Toc57023233"/>
      <w:bookmarkStart w:id="65" w:name="_Toc63432748"/>
      <w:r w:rsidRPr="00FD1A75">
        <w:lastRenderedPageBreak/>
        <w:t>Academic Promotion</w:t>
      </w:r>
      <w:bookmarkEnd w:id="61"/>
      <w:bookmarkEnd w:id="62"/>
      <w:bookmarkEnd w:id="63"/>
      <w:bookmarkEnd w:id="64"/>
      <w:bookmarkEnd w:id="65"/>
    </w:p>
    <w:p w14:paraId="214979F9" w14:textId="77777777" w:rsidR="00FD1A75" w:rsidRPr="00FD1A75" w:rsidRDefault="00FD1A75" w:rsidP="00467BC2">
      <w:pPr>
        <w:pStyle w:val="Heading3"/>
        <w:numPr>
          <w:ilvl w:val="2"/>
          <w:numId w:val="4"/>
        </w:numPr>
      </w:pPr>
      <w:bookmarkStart w:id="66" w:name="_Toc55202788"/>
      <w:bookmarkStart w:id="67" w:name="_Toc55219260"/>
      <w:bookmarkStart w:id="68" w:name="_Toc55241655"/>
      <w:bookmarkStart w:id="69" w:name="_Toc55573536"/>
      <w:bookmarkStart w:id="70" w:name="_Toc57023234"/>
      <w:bookmarkStart w:id="71" w:name="_Toc63432749"/>
      <w:r w:rsidRPr="00FD1A75">
        <w:t>% Female</w:t>
      </w:r>
      <w:bookmarkEnd w:id="66"/>
      <w:bookmarkEnd w:id="67"/>
      <w:bookmarkEnd w:id="68"/>
      <w:bookmarkEnd w:id="69"/>
      <w:bookmarkEnd w:id="70"/>
      <w:bookmarkEnd w:id="71"/>
    </w:p>
    <w:p w14:paraId="1AD916E8" w14:textId="685ED08C" w:rsidR="00FD1A75" w:rsidRPr="00FD1A75" w:rsidRDefault="00FD1A75" w:rsidP="00FD1A75">
      <w:r w:rsidRPr="00FD1A75">
        <w:t xml:space="preserve">% of applicants </w:t>
      </w:r>
      <w:r w:rsidRPr="00FD1A75">
        <w:rPr>
          <w:rFonts w:cstheme="minorHAnsi"/>
        </w:rPr>
        <w:t>→</w:t>
      </w:r>
      <w:r w:rsidRPr="00FD1A75">
        <w:t xml:space="preserve"> % of successful applicants</w:t>
      </w:r>
    </w:p>
    <w:tbl>
      <w:tblPr>
        <w:tblStyle w:val="TableGrid"/>
        <w:tblW w:w="5000" w:type="pct"/>
        <w:tblLook w:val="04A0" w:firstRow="1" w:lastRow="0" w:firstColumn="1" w:lastColumn="0" w:noHBand="0" w:noVBand="1"/>
      </w:tblPr>
      <w:tblGrid>
        <w:gridCol w:w="3257"/>
        <w:gridCol w:w="1884"/>
        <w:gridCol w:w="1942"/>
        <w:gridCol w:w="1933"/>
      </w:tblGrid>
      <w:tr w:rsidR="00FD1A75" w:rsidRPr="00FD1A75" w14:paraId="104478D9" w14:textId="77777777" w:rsidTr="00FD1A75">
        <w:tc>
          <w:tcPr>
            <w:tcW w:w="1806" w:type="pct"/>
            <w:shd w:val="clear" w:color="auto" w:fill="8EAADB" w:themeFill="accent5" w:themeFillTint="99"/>
          </w:tcPr>
          <w:p w14:paraId="155086C5" w14:textId="77777777" w:rsidR="00FD1A75" w:rsidRPr="00FD1A75" w:rsidRDefault="00FD1A75" w:rsidP="00FD1A75">
            <w:pPr>
              <w:rPr>
                <w:b/>
              </w:rPr>
            </w:pPr>
          </w:p>
        </w:tc>
        <w:tc>
          <w:tcPr>
            <w:tcW w:w="1045" w:type="pct"/>
            <w:shd w:val="clear" w:color="auto" w:fill="8EAADB" w:themeFill="accent5" w:themeFillTint="99"/>
          </w:tcPr>
          <w:p w14:paraId="4D4EE7CA" w14:textId="77777777" w:rsidR="00FD1A75" w:rsidRPr="00FD1A75" w:rsidRDefault="00FD1A75" w:rsidP="00FD1A75">
            <w:pPr>
              <w:jc w:val="center"/>
              <w:rPr>
                <w:b/>
              </w:rPr>
            </w:pPr>
            <w:r w:rsidRPr="00FD1A75">
              <w:rPr>
                <w:b/>
              </w:rPr>
              <w:t>2017</w:t>
            </w:r>
          </w:p>
        </w:tc>
        <w:tc>
          <w:tcPr>
            <w:tcW w:w="1077" w:type="pct"/>
            <w:shd w:val="clear" w:color="auto" w:fill="8EAADB" w:themeFill="accent5" w:themeFillTint="99"/>
          </w:tcPr>
          <w:p w14:paraId="671F215F" w14:textId="77777777" w:rsidR="00FD1A75" w:rsidRPr="00FD1A75" w:rsidRDefault="00FD1A75" w:rsidP="00FD1A75">
            <w:pPr>
              <w:jc w:val="center"/>
              <w:rPr>
                <w:b/>
              </w:rPr>
            </w:pPr>
            <w:r w:rsidRPr="00FD1A75">
              <w:rPr>
                <w:b/>
              </w:rPr>
              <w:t>2018</w:t>
            </w:r>
          </w:p>
        </w:tc>
        <w:tc>
          <w:tcPr>
            <w:tcW w:w="1072" w:type="pct"/>
            <w:shd w:val="clear" w:color="auto" w:fill="8EAADB" w:themeFill="accent5" w:themeFillTint="99"/>
          </w:tcPr>
          <w:p w14:paraId="3050366B" w14:textId="77777777" w:rsidR="00FD1A75" w:rsidRPr="00FD1A75" w:rsidRDefault="00FD1A75" w:rsidP="00FD1A75">
            <w:pPr>
              <w:jc w:val="center"/>
              <w:rPr>
                <w:b/>
              </w:rPr>
            </w:pPr>
            <w:r w:rsidRPr="00FD1A75">
              <w:rPr>
                <w:b/>
              </w:rPr>
              <w:t>2019</w:t>
            </w:r>
          </w:p>
        </w:tc>
      </w:tr>
      <w:tr w:rsidR="00FD1A75" w:rsidRPr="00FD1A75" w14:paraId="3B0F5479" w14:textId="77777777" w:rsidTr="00FD1A75">
        <w:tc>
          <w:tcPr>
            <w:tcW w:w="1806" w:type="pct"/>
          </w:tcPr>
          <w:p w14:paraId="2DDCC55F" w14:textId="77777777" w:rsidR="00FD1A75" w:rsidRPr="00FD1A75" w:rsidRDefault="00FD1A75" w:rsidP="00FD1A75">
            <w:r w:rsidRPr="00FD1A75">
              <w:t>% Senior Lecturer Female</w:t>
            </w:r>
          </w:p>
        </w:tc>
        <w:tc>
          <w:tcPr>
            <w:tcW w:w="1045" w:type="pct"/>
          </w:tcPr>
          <w:p w14:paraId="098C8B42" w14:textId="77777777" w:rsidR="00FD1A75" w:rsidRPr="00FD1A75" w:rsidRDefault="00FD1A75" w:rsidP="00FD1A75">
            <w:pPr>
              <w:jc w:val="center"/>
            </w:pPr>
            <w:r w:rsidRPr="00FD1A75">
              <w:t xml:space="preserve">41% </w:t>
            </w:r>
            <w:r w:rsidRPr="00FD1A75">
              <w:rPr>
                <w:rFonts w:cstheme="minorHAnsi"/>
              </w:rPr>
              <w:t>→</w:t>
            </w:r>
            <w:r w:rsidRPr="00FD1A75">
              <w:t xml:space="preserve"> 41%</w:t>
            </w:r>
          </w:p>
        </w:tc>
        <w:tc>
          <w:tcPr>
            <w:tcW w:w="1077" w:type="pct"/>
          </w:tcPr>
          <w:p w14:paraId="6FC709DD" w14:textId="77777777" w:rsidR="00FD1A75" w:rsidRPr="00FD1A75" w:rsidRDefault="00FD1A75" w:rsidP="00FD1A75">
            <w:pPr>
              <w:jc w:val="center"/>
            </w:pPr>
            <w:r w:rsidRPr="00FD1A75">
              <w:t xml:space="preserve">49% </w:t>
            </w:r>
            <w:r w:rsidRPr="00FD1A75">
              <w:rPr>
                <w:rFonts w:cstheme="minorHAnsi"/>
              </w:rPr>
              <w:t>→</w:t>
            </w:r>
            <w:r w:rsidRPr="00FD1A75">
              <w:t xml:space="preserve"> 45%</w:t>
            </w:r>
          </w:p>
        </w:tc>
        <w:tc>
          <w:tcPr>
            <w:tcW w:w="1072" w:type="pct"/>
          </w:tcPr>
          <w:p w14:paraId="41D2478A" w14:textId="77777777" w:rsidR="00FD1A75" w:rsidRPr="00FD1A75" w:rsidRDefault="00FD1A75" w:rsidP="00FD1A75">
            <w:pPr>
              <w:jc w:val="center"/>
            </w:pPr>
            <w:r w:rsidRPr="00FD1A75">
              <w:t xml:space="preserve">48% </w:t>
            </w:r>
            <w:r w:rsidRPr="00FD1A75">
              <w:rPr>
                <w:rFonts w:cstheme="minorHAnsi"/>
              </w:rPr>
              <w:t>→</w:t>
            </w:r>
            <w:r w:rsidRPr="00FD1A75">
              <w:t xml:space="preserve"> 53%</w:t>
            </w:r>
          </w:p>
        </w:tc>
      </w:tr>
      <w:tr w:rsidR="00FD1A75" w:rsidRPr="00FD1A75" w14:paraId="11B5DBA8" w14:textId="77777777" w:rsidTr="00FD1A75">
        <w:tc>
          <w:tcPr>
            <w:tcW w:w="1806" w:type="pct"/>
          </w:tcPr>
          <w:p w14:paraId="5628698B" w14:textId="77777777" w:rsidR="00FD1A75" w:rsidRPr="00FD1A75" w:rsidRDefault="00FD1A75" w:rsidP="00FD1A75">
            <w:r w:rsidRPr="00FD1A75">
              <w:t xml:space="preserve">% Reader Female </w:t>
            </w:r>
          </w:p>
        </w:tc>
        <w:tc>
          <w:tcPr>
            <w:tcW w:w="1045" w:type="pct"/>
          </w:tcPr>
          <w:p w14:paraId="6765CD30" w14:textId="77777777" w:rsidR="00FD1A75" w:rsidRPr="00FD1A75" w:rsidRDefault="00FD1A75" w:rsidP="00FD1A75">
            <w:pPr>
              <w:jc w:val="center"/>
            </w:pPr>
            <w:r w:rsidRPr="00FD1A75">
              <w:rPr>
                <w:rFonts w:cstheme="minorHAnsi"/>
              </w:rPr>
              <w:t>32% →</w:t>
            </w:r>
            <w:r w:rsidRPr="00FD1A75">
              <w:t xml:space="preserve"> 33%</w:t>
            </w:r>
          </w:p>
        </w:tc>
        <w:tc>
          <w:tcPr>
            <w:tcW w:w="1077" w:type="pct"/>
          </w:tcPr>
          <w:p w14:paraId="477DA685" w14:textId="77777777" w:rsidR="00FD1A75" w:rsidRPr="00FD1A75" w:rsidRDefault="00FD1A75" w:rsidP="00FD1A75">
            <w:pPr>
              <w:jc w:val="center"/>
            </w:pPr>
            <w:r w:rsidRPr="00FD1A75">
              <w:rPr>
                <w:rFonts w:cstheme="minorHAnsi"/>
              </w:rPr>
              <w:t xml:space="preserve">44% → </w:t>
            </w:r>
            <w:r w:rsidRPr="00FD1A75">
              <w:t>52%</w:t>
            </w:r>
          </w:p>
        </w:tc>
        <w:tc>
          <w:tcPr>
            <w:tcW w:w="1072" w:type="pct"/>
          </w:tcPr>
          <w:p w14:paraId="3A6A0E5D" w14:textId="77777777" w:rsidR="00FD1A75" w:rsidRPr="00FD1A75" w:rsidRDefault="00FD1A75" w:rsidP="00FD1A75">
            <w:pPr>
              <w:jc w:val="center"/>
            </w:pPr>
            <w:r w:rsidRPr="00FD1A75">
              <w:rPr>
                <w:rFonts w:cstheme="minorHAnsi"/>
              </w:rPr>
              <w:t xml:space="preserve">35% → </w:t>
            </w:r>
            <w:r w:rsidRPr="00FD1A75">
              <w:t>36%</w:t>
            </w:r>
          </w:p>
        </w:tc>
      </w:tr>
      <w:tr w:rsidR="00FD1A75" w:rsidRPr="00FD1A75" w14:paraId="7489A216" w14:textId="77777777" w:rsidTr="00FD1A75">
        <w:tc>
          <w:tcPr>
            <w:tcW w:w="1806" w:type="pct"/>
          </w:tcPr>
          <w:p w14:paraId="08B875A8" w14:textId="77777777" w:rsidR="00FD1A75" w:rsidRPr="00FD1A75" w:rsidRDefault="00FD1A75" w:rsidP="00FD1A75">
            <w:r w:rsidRPr="00FD1A75">
              <w:t>% Professors Female</w:t>
            </w:r>
          </w:p>
        </w:tc>
        <w:tc>
          <w:tcPr>
            <w:tcW w:w="1045" w:type="pct"/>
          </w:tcPr>
          <w:p w14:paraId="2786554C" w14:textId="77777777" w:rsidR="00FD1A75" w:rsidRPr="00FD1A75" w:rsidRDefault="00FD1A75" w:rsidP="00FD1A75">
            <w:pPr>
              <w:jc w:val="center"/>
            </w:pPr>
            <w:r w:rsidRPr="00FD1A75">
              <w:rPr>
                <w:rFonts w:cstheme="minorHAnsi"/>
              </w:rPr>
              <w:t xml:space="preserve">37% → </w:t>
            </w:r>
            <w:r w:rsidRPr="00FD1A75">
              <w:t>30%</w:t>
            </w:r>
          </w:p>
        </w:tc>
        <w:tc>
          <w:tcPr>
            <w:tcW w:w="1077" w:type="pct"/>
          </w:tcPr>
          <w:p w14:paraId="6782FEFA" w14:textId="77777777" w:rsidR="00FD1A75" w:rsidRPr="00FD1A75" w:rsidRDefault="00FD1A75" w:rsidP="00FD1A75">
            <w:pPr>
              <w:jc w:val="center"/>
            </w:pPr>
            <w:r w:rsidRPr="00FD1A75">
              <w:rPr>
                <w:rFonts w:cstheme="minorHAnsi"/>
              </w:rPr>
              <w:t xml:space="preserve">42% → </w:t>
            </w:r>
            <w:r w:rsidRPr="00FD1A75">
              <w:t>44%</w:t>
            </w:r>
          </w:p>
        </w:tc>
        <w:tc>
          <w:tcPr>
            <w:tcW w:w="1072" w:type="pct"/>
          </w:tcPr>
          <w:p w14:paraId="277CA9C5" w14:textId="77777777" w:rsidR="00FD1A75" w:rsidRPr="00FD1A75" w:rsidRDefault="00FD1A75" w:rsidP="00FD1A75">
            <w:pPr>
              <w:jc w:val="center"/>
            </w:pPr>
            <w:r w:rsidRPr="00FD1A75">
              <w:rPr>
                <w:rFonts w:cstheme="minorHAnsi"/>
              </w:rPr>
              <w:t xml:space="preserve">31% → </w:t>
            </w:r>
            <w:r w:rsidRPr="00FD1A75">
              <w:t>33%</w:t>
            </w:r>
          </w:p>
        </w:tc>
      </w:tr>
    </w:tbl>
    <w:p w14:paraId="5F1C16AF" w14:textId="77777777" w:rsidR="00FD1A75" w:rsidRPr="00FD1A75" w:rsidRDefault="00FD1A75" w:rsidP="00467BC2">
      <w:pPr>
        <w:pStyle w:val="Heading3"/>
        <w:numPr>
          <w:ilvl w:val="2"/>
          <w:numId w:val="4"/>
        </w:numPr>
      </w:pPr>
      <w:bookmarkStart w:id="72" w:name="_Toc55202789"/>
      <w:bookmarkStart w:id="73" w:name="_Toc55219261"/>
      <w:bookmarkStart w:id="74" w:name="_Toc55241656"/>
      <w:bookmarkStart w:id="75" w:name="_Toc55573537"/>
      <w:bookmarkStart w:id="76" w:name="_Toc57023235"/>
      <w:bookmarkStart w:id="77" w:name="_Toc63432750"/>
      <w:r w:rsidRPr="00FD1A75">
        <w:t>% of promotions People of Colour</w:t>
      </w:r>
      <w:bookmarkEnd w:id="72"/>
      <w:bookmarkEnd w:id="73"/>
      <w:bookmarkEnd w:id="74"/>
      <w:bookmarkEnd w:id="75"/>
      <w:bookmarkEnd w:id="76"/>
      <w:bookmarkEnd w:id="77"/>
    </w:p>
    <w:tbl>
      <w:tblPr>
        <w:tblStyle w:val="TableGrid"/>
        <w:tblW w:w="5000" w:type="pct"/>
        <w:tblLook w:val="04A0" w:firstRow="1" w:lastRow="0" w:firstColumn="1" w:lastColumn="0" w:noHBand="0" w:noVBand="1"/>
      </w:tblPr>
      <w:tblGrid>
        <w:gridCol w:w="3257"/>
        <w:gridCol w:w="1884"/>
        <w:gridCol w:w="1942"/>
        <w:gridCol w:w="1933"/>
      </w:tblGrid>
      <w:tr w:rsidR="00FD1A75" w:rsidRPr="00FD1A75" w14:paraId="33C3EFA9" w14:textId="77777777" w:rsidTr="00FD1A75">
        <w:tc>
          <w:tcPr>
            <w:tcW w:w="1806" w:type="pct"/>
            <w:shd w:val="clear" w:color="auto" w:fill="8EAADB" w:themeFill="accent5" w:themeFillTint="99"/>
          </w:tcPr>
          <w:p w14:paraId="539F189B" w14:textId="77777777" w:rsidR="00FD1A75" w:rsidRPr="00FD1A75" w:rsidRDefault="00FD1A75" w:rsidP="00FD1A75">
            <w:pPr>
              <w:rPr>
                <w:b/>
              </w:rPr>
            </w:pPr>
          </w:p>
        </w:tc>
        <w:tc>
          <w:tcPr>
            <w:tcW w:w="1045" w:type="pct"/>
            <w:shd w:val="clear" w:color="auto" w:fill="8EAADB" w:themeFill="accent5" w:themeFillTint="99"/>
          </w:tcPr>
          <w:p w14:paraId="197FD4C4" w14:textId="77777777" w:rsidR="00FD1A75" w:rsidRPr="00FD1A75" w:rsidRDefault="00FD1A75" w:rsidP="00FD1A75">
            <w:pPr>
              <w:jc w:val="center"/>
              <w:rPr>
                <w:b/>
              </w:rPr>
            </w:pPr>
            <w:r w:rsidRPr="00FD1A75">
              <w:rPr>
                <w:b/>
              </w:rPr>
              <w:t>2017</w:t>
            </w:r>
          </w:p>
        </w:tc>
        <w:tc>
          <w:tcPr>
            <w:tcW w:w="1077" w:type="pct"/>
            <w:shd w:val="clear" w:color="auto" w:fill="8EAADB" w:themeFill="accent5" w:themeFillTint="99"/>
          </w:tcPr>
          <w:p w14:paraId="5812309A" w14:textId="77777777" w:rsidR="00FD1A75" w:rsidRPr="00FD1A75" w:rsidRDefault="00FD1A75" w:rsidP="00FD1A75">
            <w:pPr>
              <w:jc w:val="center"/>
              <w:rPr>
                <w:b/>
              </w:rPr>
            </w:pPr>
            <w:r w:rsidRPr="00FD1A75">
              <w:rPr>
                <w:b/>
              </w:rPr>
              <w:t>2018</w:t>
            </w:r>
          </w:p>
        </w:tc>
        <w:tc>
          <w:tcPr>
            <w:tcW w:w="1072" w:type="pct"/>
            <w:shd w:val="clear" w:color="auto" w:fill="8EAADB" w:themeFill="accent5" w:themeFillTint="99"/>
          </w:tcPr>
          <w:p w14:paraId="4CDF7623" w14:textId="77777777" w:rsidR="00FD1A75" w:rsidRPr="00FD1A75" w:rsidRDefault="00FD1A75" w:rsidP="00FD1A75">
            <w:pPr>
              <w:jc w:val="center"/>
              <w:rPr>
                <w:b/>
              </w:rPr>
            </w:pPr>
            <w:r w:rsidRPr="00FD1A75">
              <w:rPr>
                <w:b/>
              </w:rPr>
              <w:t>2019</w:t>
            </w:r>
          </w:p>
        </w:tc>
      </w:tr>
      <w:tr w:rsidR="00FD1A75" w:rsidRPr="00FD1A75" w14:paraId="3EE1DCF7" w14:textId="77777777" w:rsidTr="0038061C">
        <w:tc>
          <w:tcPr>
            <w:tcW w:w="1806" w:type="pct"/>
          </w:tcPr>
          <w:p w14:paraId="7ECE0327" w14:textId="77777777" w:rsidR="00FD1A75" w:rsidRPr="00FD1A75" w:rsidRDefault="004E46EC" w:rsidP="004E46EC">
            <w:r>
              <w:t>% Professors</w:t>
            </w:r>
          </w:p>
        </w:tc>
        <w:tc>
          <w:tcPr>
            <w:tcW w:w="1045" w:type="pct"/>
            <w:shd w:val="clear" w:color="auto" w:fill="BFBFBF" w:themeFill="background1" w:themeFillShade="BF"/>
          </w:tcPr>
          <w:p w14:paraId="405BEA6D" w14:textId="77777777" w:rsidR="00FD1A75" w:rsidRPr="00FD1A75" w:rsidRDefault="00FD1A75" w:rsidP="00FD1A75">
            <w:pPr>
              <w:jc w:val="center"/>
            </w:pPr>
          </w:p>
        </w:tc>
        <w:tc>
          <w:tcPr>
            <w:tcW w:w="1077" w:type="pct"/>
            <w:shd w:val="clear" w:color="auto" w:fill="BFBFBF" w:themeFill="background1" w:themeFillShade="BF"/>
          </w:tcPr>
          <w:p w14:paraId="213D29CC" w14:textId="77777777" w:rsidR="00FD1A75" w:rsidRPr="00FD1A75" w:rsidRDefault="00FD1A75" w:rsidP="00FD1A75">
            <w:pPr>
              <w:jc w:val="center"/>
            </w:pPr>
          </w:p>
        </w:tc>
        <w:tc>
          <w:tcPr>
            <w:tcW w:w="1072" w:type="pct"/>
            <w:shd w:val="clear" w:color="auto" w:fill="auto"/>
          </w:tcPr>
          <w:p w14:paraId="4279348D" w14:textId="77777777" w:rsidR="00FD1A75" w:rsidRPr="00FD1A75" w:rsidRDefault="004E46EC" w:rsidP="00FD1A75">
            <w:pPr>
              <w:jc w:val="center"/>
            </w:pPr>
            <w:r>
              <w:t xml:space="preserve">13.5% </w:t>
            </w:r>
            <w:r w:rsidRPr="00FD1A75">
              <w:rPr>
                <w:rFonts w:cstheme="minorHAnsi"/>
              </w:rPr>
              <w:t>→</w:t>
            </w:r>
            <w:r>
              <w:t xml:space="preserve"> 13.1%</w:t>
            </w:r>
          </w:p>
        </w:tc>
      </w:tr>
    </w:tbl>
    <w:p w14:paraId="79E6BE1A" w14:textId="77777777" w:rsidR="00FD1A75" w:rsidRPr="00FD1A75" w:rsidRDefault="00FD1A75" w:rsidP="00467BC2">
      <w:pPr>
        <w:pStyle w:val="Heading2"/>
        <w:numPr>
          <w:ilvl w:val="1"/>
          <w:numId w:val="4"/>
        </w:numPr>
      </w:pPr>
      <w:bookmarkStart w:id="78" w:name="_Toc55202790"/>
      <w:bookmarkStart w:id="79" w:name="_Toc55219262"/>
      <w:bookmarkStart w:id="80" w:name="_Toc55573538"/>
      <w:bookmarkStart w:id="81" w:name="_Toc57023236"/>
      <w:bookmarkStart w:id="82" w:name="_Toc63432751"/>
      <w:r w:rsidRPr="00FD1A75">
        <w:t>Professor Population</w:t>
      </w:r>
      <w:bookmarkEnd w:id="78"/>
      <w:bookmarkEnd w:id="79"/>
      <w:bookmarkEnd w:id="80"/>
      <w:bookmarkEnd w:id="81"/>
      <w:bookmarkEnd w:id="82"/>
    </w:p>
    <w:p w14:paraId="2417EB80" w14:textId="77777777" w:rsidR="00FD1A75" w:rsidRPr="00FD1A75" w:rsidRDefault="00FD1A75" w:rsidP="00FD1A75">
      <w:pPr>
        <w:rPr>
          <w:sz w:val="20"/>
        </w:rPr>
      </w:pPr>
      <w:r w:rsidRPr="00FD1A75">
        <w:rPr>
          <w:sz w:val="20"/>
        </w:rPr>
        <w:t>Data source: HESA Full Personal Equivalent</w:t>
      </w:r>
    </w:p>
    <w:tbl>
      <w:tblPr>
        <w:tblStyle w:val="TableGrid"/>
        <w:tblW w:w="5000" w:type="pct"/>
        <w:tblLook w:val="04A0" w:firstRow="1" w:lastRow="0" w:firstColumn="1" w:lastColumn="0" w:noHBand="0" w:noVBand="1"/>
      </w:tblPr>
      <w:tblGrid>
        <w:gridCol w:w="3030"/>
        <w:gridCol w:w="1753"/>
        <w:gridCol w:w="1807"/>
        <w:gridCol w:w="1800"/>
        <w:gridCol w:w="626"/>
      </w:tblGrid>
      <w:tr w:rsidR="0038061C" w:rsidRPr="00FD1A75" w14:paraId="1F37573E" w14:textId="7E88596E" w:rsidTr="0038061C">
        <w:tc>
          <w:tcPr>
            <w:tcW w:w="1680" w:type="pct"/>
            <w:shd w:val="clear" w:color="auto" w:fill="8EAADB" w:themeFill="accent5" w:themeFillTint="99"/>
          </w:tcPr>
          <w:p w14:paraId="44B2514F" w14:textId="77777777" w:rsidR="0038061C" w:rsidRPr="00FD1A75" w:rsidRDefault="0038061C" w:rsidP="00FD1A75">
            <w:pPr>
              <w:rPr>
                <w:b/>
              </w:rPr>
            </w:pPr>
          </w:p>
        </w:tc>
        <w:tc>
          <w:tcPr>
            <w:tcW w:w="972" w:type="pct"/>
            <w:shd w:val="clear" w:color="auto" w:fill="8EAADB" w:themeFill="accent5" w:themeFillTint="99"/>
          </w:tcPr>
          <w:p w14:paraId="07E62C4E" w14:textId="77777777" w:rsidR="0038061C" w:rsidRPr="0038061C" w:rsidRDefault="0038061C" w:rsidP="00FD1A75">
            <w:pPr>
              <w:jc w:val="center"/>
              <w:rPr>
                <w:b/>
                <w:i/>
              </w:rPr>
            </w:pPr>
            <w:r w:rsidRPr="0038061C">
              <w:rPr>
                <w:b/>
                <w:i/>
              </w:rPr>
              <w:t>2009/10</w:t>
            </w:r>
          </w:p>
        </w:tc>
        <w:tc>
          <w:tcPr>
            <w:tcW w:w="1002" w:type="pct"/>
            <w:shd w:val="clear" w:color="auto" w:fill="8EAADB" w:themeFill="accent5" w:themeFillTint="99"/>
          </w:tcPr>
          <w:p w14:paraId="243E4F54" w14:textId="77777777" w:rsidR="0038061C" w:rsidRPr="00FD1A75" w:rsidRDefault="0038061C" w:rsidP="00FD1A75">
            <w:pPr>
              <w:jc w:val="center"/>
              <w:rPr>
                <w:b/>
              </w:rPr>
            </w:pPr>
            <w:r w:rsidRPr="00FD1A75">
              <w:rPr>
                <w:b/>
              </w:rPr>
              <w:t>2017/18</w:t>
            </w:r>
          </w:p>
        </w:tc>
        <w:tc>
          <w:tcPr>
            <w:tcW w:w="998" w:type="pct"/>
            <w:shd w:val="clear" w:color="auto" w:fill="8EAADB" w:themeFill="accent5" w:themeFillTint="99"/>
          </w:tcPr>
          <w:p w14:paraId="05761CB1" w14:textId="77777777" w:rsidR="0038061C" w:rsidRPr="00FD1A75" w:rsidRDefault="0038061C" w:rsidP="00FD1A75">
            <w:pPr>
              <w:jc w:val="center"/>
              <w:rPr>
                <w:b/>
              </w:rPr>
            </w:pPr>
            <w:r w:rsidRPr="00FD1A75">
              <w:rPr>
                <w:b/>
              </w:rPr>
              <w:t>2018/2019</w:t>
            </w:r>
          </w:p>
        </w:tc>
        <w:tc>
          <w:tcPr>
            <w:tcW w:w="347" w:type="pct"/>
            <w:shd w:val="clear" w:color="auto" w:fill="8EAADB" w:themeFill="accent5" w:themeFillTint="99"/>
          </w:tcPr>
          <w:p w14:paraId="4FDBC373" w14:textId="77777777" w:rsidR="0038061C" w:rsidRPr="00066C43" w:rsidRDefault="0038061C" w:rsidP="00FD1A75">
            <w:pPr>
              <w:jc w:val="center"/>
            </w:pPr>
          </w:p>
        </w:tc>
      </w:tr>
      <w:tr w:rsidR="0038061C" w:rsidRPr="00FD1A75" w14:paraId="492C5E34" w14:textId="3CE60199" w:rsidTr="0038061C">
        <w:tc>
          <w:tcPr>
            <w:tcW w:w="1680" w:type="pct"/>
          </w:tcPr>
          <w:p w14:paraId="291AAE0E" w14:textId="77777777" w:rsidR="0038061C" w:rsidRPr="00FD1A75" w:rsidRDefault="0038061C" w:rsidP="00FD1A75">
            <w:r w:rsidRPr="00FD1A75">
              <w:t>% Female</w:t>
            </w:r>
          </w:p>
        </w:tc>
        <w:tc>
          <w:tcPr>
            <w:tcW w:w="972" w:type="pct"/>
          </w:tcPr>
          <w:p w14:paraId="7F942254" w14:textId="77777777" w:rsidR="0038061C" w:rsidRPr="0038061C" w:rsidRDefault="0038061C" w:rsidP="00FD1A75">
            <w:pPr>
              <w:jc w:val="center"/>
              <w:rPr>
                <w:i/>
              </w:rPr>
            </w:pPr>
            <w:r w:rsidRPr="0038061C">
              <w:rPr>
                <w:i/>
              </w:rPr>
              <w:t>12.6%</w:t>
            </w:r>
          </w:p>
        </w:tc>
        <w:tc>
          <w:tcPr>
            <w:tcW w:w="1002" w:type="pct"/>
          </w:tcPr>
          <w:p w14:paraId="70F5E926" w14:textId="77777777" w:rsidR="0038061C" w:rsidRPr="00FD1A75" w:rsidRDefault="0038061C" w:rsidP="00FD1A75">
            <w:pPr>
              <w:jc w:val="center"/>
            </w:pPr>
            <w:r w:rsidRPr="00FD1A75">
              <w:t>29.1%</w:t>
            </w:r>
          </w:p>
        </w:tc>
        <w:tc>
          <w:tcPr>
            <w:tcW w:w="998" w:type="pct"/>
          </w:tcPr>
          <w:p w14:paraId="24FE41BB" w14:textId="77777777" w:rsidR="0038061C" w:rsidRPr="00FD1A75" w:rsidRDefault="0038061C" w:rsidP="00FD1A75">
            <w:pPr>
              <w:jc w:val="center"/>
            </w:pPr>
            <w:r w:rsidRPr="00FD1A75">
              <w:t>31.3%</w:t>
            </w:r>
          </w:p>
        </w:tc>
        <w:tc>
          <w:tcPr>
            <w:tcW w:w="347" w:type="pct"/>
          </w:tcPr>
          <w:p w14:paraId="5ED816DC" w14:textId="4E273530" w:rsidR="0038061C" w:rsidRPr="00066C43" w:rsidRDefault="0038061C" w:rsidP="00FD1A75">
            <w:pPr>
              <w:jc w:val="center"/>
            </w:pPr>
            <w:r w:rsidRPr="00066C43">
              <w:rPr>
                <w:rFonts w:cstheme="minorHAnsi"/>
                <w:i/>
              </w:rPr>
              <w:t>↑</w:t>
            </w:r>
          </w:p>
        </w:tc>
      </w:tr>
      <w:tr w:rsidR="0038061C" w:rsidRPr="00FD1A75" w14:paraId="78C63E7A" w14:textId="22F1CC51" w:rsidTr="0038061C">
        <w:tc>
          <w:tcPr>
            <w:tcW w:w="1680" w:type="pct"/>
          </w:tcPr>
          <w:p w14:paraId="4626BE5E" w14:textId="77777777" w:rsidR="0038061C" w:rsidRPr="00FD1A75" w:rsidRDefault="0038061C" w:rsidP="00FD1A75">
            <w:r w:rsidRPr="00FD1A75">
              <w:t>% Disabled</w:t>
            </w:r>
          </w:p>
        </w:tc>
        <w:tc>
          <w:tcPr>
            <w:tcW w:w="972" w:type="pct"/>
          </w:tcPr>
          <w:p w14:paraId="5761EEF1" w14:textId="77777777" w:rsidR="0038061C" w:rsidRPr="0038061C" w:rsidRDefault="0038061C" w:rsidP="00FD1A75">
            <w:pPr>
              <w:jc w:val="center"/>
              <w:rPr>
                <w:i/>
              </w:rPr>
            </w:pPr>
            <w:r w:rsidRPr="0038061C">
              <w:rPr>
                <w:i/>
              </w:rPr>
              <w:t>0.6%</w:t>
            </w:r>
          </w:p>
        </w:tc>
        <w:tc>
          <w:tcPr>
            <w:tcW w:w="1002" w:type="pct"/>
          </w:tcPr>
          <w:p w14:paraId="631888BD" w14:textId="77777777" w:rsidR="0038061C" w:rsidRPr="00FD1A75" w:rsidRDefault="0038061C" w:rsidP="00FD1A75">
            <w:pPr>
              <w:jc w:val="center"/>
            </w:pPr>
            <w:r w:rsidRPr="00FD1A75">
              <w:t>2.8%</w:t>
            </w:r>
          </w:p>
        </w:tc>
        <w:tc>
          <w:tcPr>
            <w:tcW w:w="998" w:type="pct"/>
          </w:tcPr>
          <w:p w14:paraId="3F4297CC" w14:textId="77777777" w:rsidR="0038061C" w:rsidRPr="00FD1A75" w:rsidRDefault="0038061C" w:rsidP="00FD1A75">
            <w:pPr>
              <w:jc w:val="center"/>
            </w:pPr>
            <w:r w:rsidRPr="00FD1A75">
              <w:t>2.5%</w:t>
            </w:r>
          </w:p>
        </w:tc>
        <w:tc>
          <w:tcPr>
            <w:tcW w:w="347" w:type="pct"/>
          </w:tcPr>
          <w:p w14:paraId="31380376" w14:textId="7F306FC2" w:rsidR="0038061C" w:rsidRPr="00066C43" w:rsidRDefault="0038061C" w:rsidP="00FD1A75">
            <w:pPr>
              <w:jc w:val="center"/>
            </w:pPr>
            <w:r w:rsidRPr="00066C43">
              <w:rPr>
                <w:rFonts w:cstheme="minorHAnsi"/>
              </w:rPr>
              <w:t>↓</w:t>
            </w:r>
          </w:p>
        </w:tc>
      </w:tr>
      <w:tr w:rsidR="0038061C" w:rsidRPr="00FD1A75" w14:paraId="4358DFBF" w14:textId="4CE99D02" w:rsidTr="0038061C">
        <w:tc>
          <w:tcPr>
            <w:tcW w:w="1680" w:type="pct"/>
          </w:tcPr>
          <w:p w14:paraId="6857D890" w14:textId="77777777" w:rsidR="0038061C" w:rsidRPr="00FD1A75" w:rsidRDefault="0038061C" w:rsidP="00FD1A75">
            <w:r w:rsidRPr="00FD1A75">
              <w:t>% PoC</w:t>
            </w:r>
          </w:p>
        </w:tc>
        <w:tc>
          <w:tcPr>
            <w:tcW w:w="972" w:type="pct"/>
          </w:tcPr>
          <w:p w14:paraId="0D1BEB1A" w14:textId="77777777" w:rsidR="0038061C" w:rsidRPr="0038061C" w:rsidRDefault="0038061C" w:rsidP="00FD1A75">
            <w:pPr>
              <w:jc w:val="center"/>
              <w:rPr>
                <w:i/>
              </w:rPr>
            </w:pPr>
            <w:r w:rsidRPr="0038061C">
              <w:rPr>
                <w:i/>
              </w:rPr>
              <w:t>7.8%</w:t>
            </w:r>
          </w:p>
        </w:tc>
        <w:tc>
          <w:tcPr>
            <w:tcW w:w="1002" w:type="pct"/>
          </w:tcPr>
          <w:p w14:paraId="0316EF4F" w14:textId="77777777" w:rsidR="0038061C" w:rsidRPr="00FD1A75" w:rsidRDefault="0038061C" w:rsidP="00FD1A75">
            <w:pPr>
              <w:jc w:val="center"/>
            </w:pPr>
            <w:r w:rsidRPr="00FD1A75">
              <w:t>8.3%</w:t>
            </w:r>
          </w:p>
        </w:tc>
        <w:tc>
          <w:tcPr>
            <w:tcW w:w="998" w:type="pct"/>
          </w:tcPr>
          <w:p w14:paraId="21E75948" w14:textId="77777777" w:rsidR="0038061C" w:rsidRPr="00FD1A75" w:rsidRDefault="0038061C" w:rsidP="00FD1A75">
            <w:pPr>
              <w:jc w:val="center"/>
            </w:pPr>
            <w:r w:rsidRPr="00FD1A75">
              <w:t>9%</w:t>
            </w:r>
          </w:p>
        </w:tc>
        <w:tc>
          <w:tcPr>
            <w:tcW w:w="347" w:type="pct"/>
          </w:tcPr>
          <w:p w14:paraId="39393915" w14:textId="74ECED04" w:rsidR="0038061C" w:rsidRPr="00066C43" w:rsidRDefault="0038061C" w:rsidP="00FD1A75">
            <w:pPr>
              <w:jc w:val="center"/>
            </w:pPr>
            <w:r w:rsidRPr="00066C43">
              <w:rPr>
                <w:rFonts w:cstheme="minorHAnsi"/>
                <w:i/>
              </w:rPr>
              <w:t>↑</w:t>
            </w:r>
          </w:p>
        </w:tc>
      </w:tr>
      <w:tr w:rsidR="0038061C" w:rsidRPr="00FD1A75" w14:paraId="2E2BFB5B" w14:textId="634FAEEC" w:rsidTr="0038061C">
        <w:tc>
          <w:tcPr>
            <w:tcW w:w="1680" w:type="pct"/>
          </w:tcPr>
          <w:p w14:paraId="438C82E5" w14:textId="77777777" w:rsidR="0038061C" w:rsidRPr="00FD1A75" w:rsidRDefault="0038061C" w:rsidP="00FD1A75">
            <w:r w:rsidRPr="00FD1A75">
              <w:t>% PoC (UK)</w:t>
            </w:r>
          </w:p>
        </w:tc>
        <w:tc>
          <w:tcPr>
            <w:tcW w:w="972" w:type="pct"/>
          </w:tcPr>
          <w:p w14:paraId="0086633D" w14:textId="77777777" w:rsidR="0038061C" w:rsidRPr="0038061C" w:rsidRDefault="0038061C" w:rsidP="00FD1A75">
            <w:pPr>
              <w:jc w:val="center"/>
              <w:rPr>
                <w:i/>
              </w:rPr>
            </w:pPr>
            <w:r w:rsidRPr="0038061C">
              <w:rPr>
                <w:i/>
              </w:rPr>
              <w:t>7.1%</w:t>
            </w:r>
          </w:p>
        </w:tc>
        <w:tc>
          <w:tcPr>
            <w:tcW w:w="1002" w:type="pct"/>
          </w:tcPr>
          <w:p w14:paraId="3E99B8AF" w14:textId="77777777" w:rsidR="0038061C" w:rsidRPr="00FD1A75" w:rsidRDefault="0038061C" w:rsidP="00FD1A75">
            <w:pPr>
              <w:jc w:val="center"/>
            </w:pPr>
            <w:r w:rsidRPr="00FD1A75">
              <w:t>7.1%</w:t>
            </w:r>
          </w:p>
        </w:tc>
        <w:tc>
          <w:tcPr>
            <w:tcW w:w="998" w:type="pct"/>
          </w:tcPr>
          <w:p w14:paraId="2A4EDAC8" w14:textId="77777777" w:rsidR="0038061C" w:rsidRPr="00FD1A75" w:rsidRDefault="0038061C" w:rsidP="00FD1A75">
            <w:pPr>
              <w:jc w:val="center"/>
            </w:pPr>
            <w:r w:rsidRPr="00FD1A75">
              <w:t>9.1%</w:t>
            </w:r>
          </w:p>
        </w:tc>
        <w:tc>
          <w:tcPr>
            <w:tcW w:w="347" w:type="pct"/>
          </w:tcPr>
          <w:p w14:paraId="02F67AD7" w14:textId="404DAE9C" w:rsidR="0038061C" w:rsidRPr="00066C43" w:rsidRDefault="0038061C" w:rsidP="00FD1A75">
            <w:pPr>
              <w:jc w:val="center"/>
            </w:pPr>
            <w:r w:rsidRPr="00066C43">
              <w:rPr>
                <w:rFonts w:cstheme="minorHAnsi"/>
                <w:i/>
              </w:rPr>
              <w:t>↑</w:t>
            </w:r>
          </w:p>
        </w:tc>
      </w:tr>
      <w:tr w:rsidR="0038061C" w:rsidRPr="00FD1A75" w14:paraId="3BFF7FFE" w14:textId="44D33B2F" w:rsidTr="0038061C">
        <w:tc>
          <w:tcPr>
            <w:tcW w:w="1680" w:type="pct"/>
          </w:tcPr>
          <w:p w14:paraId="68569D96" w14:textId="77777777" w:rsidR="0038061C" w:rsidRPr="00FD1A75" w:rsidRDefault="0038061C" w:rsidP="00FD1A75">
            <w:r w:rsidRPr="00FD1A75">
              <w:t>% Black</w:t>
            </w:r>
          </w:p>
        </w:tc>
        <w:tc>
          <w:tcPr>
            <w:tcW w:w="972" w:type="pct"/>
          </w:tcPr>
          <w:p w14:paraId="5DE860ED" w14:textId="77777777" w:rsidR="0038061C" w:rsidRPr="0038061C" w:rsidRDefault="0038061C" w:rsidP="00FD1A75">
            <w:pPr>
              <w:jc w:val="center"/>
              <w:rPr>
                <w:i/>
              </w:rPr>
            </w:pPr>
            <w:r w:rsidRPr="0038061C">
              <w:rPr>
                <w:i/>
              </w:rPr>
              <w:t>0.7%</w:t>
            </w:r>
          </w:p>
        </w:tc>
        <w:tc>
          <w:tcPr>
            <w:tcW w:w="1002" w:type="pct"/>
          </w:tcPr>
          <w:p w14:paraId="36DB5158" w14:textId="77777777" w:rsidR="0038061C" w:rsidRPr="00FD1A75" w:rsidRDefault="0038061C" w:rsidP="00FD1A75">
            <w:pPr>
              <w:jc w:val="center"/>
            </w:pPr>
            <w:r w:rsidRPr="00FD1A75">
              <w:t>0.3%</w:t>
            </w:r>
          </w:p>
        </w:tc>
        <w:tc>
          <w:tcPr>
            <w:tcW w:w="998" w:type="pct"/>
          </w:tcPr>
          <w:p w14:paraId="16CC705E" w14:textId="77777777" w:rsidR="0038061C" w:rsidRPr="00FD1A75" w:rsidRDefault="0038061C" w:rsidP="00FD1A75">
            <w:pPr>
              <w:jc w:val="center"/>
            </w:pPr>
            <w:r w:rsidRPr="00FD1A75">
              <w:t>0%</w:t>
            </w:r>
          </w:p>
        </w:tc>
        <w:tc>
          <w:tcPr>
            <w:tcW w:w="347" w:type="pct"/>
          </w:tcPr>
          <w:p w14:paraId="769252F0" w14:textId="6903A421" w:rsidR="0038061C" w:rsidRPr="00066C43" w:rsidRDefault="0038061C" w:rsidP="00FD1A75">
            <w:pPr>
              <w:jc w:val="center"/>
            </w:pPr>
            <w:r w:rsidRPr="00066C43">
              <w:rPr>
                <w:rFonts w:cstheme="minorHAnsi"/>
              </w:rPr>
              <w:t>↓</w:t>
            </w:r>
          </w:p>
        </w:tc>
      </w:tr>
      <w:tr w:rsidR="0038061C" w:rsidRPr="00FD1A75" w14:paraId="5AE5452D" w14:textId="6684C25D" w:rsidTr="0038061C">
        <w:tc>
          <w:tcPr>
            <w:tcW w:w="1680" w:type="pct"/>
          </w:tcPr>
          <w:p w14:paraId="53DE15CE" w14:textId="77777777" w:rsidR="0038061C" w:rsidRPr="00FD1A75" w:rsidRDefault="0038061C" w:rsidP="00FD1A75">
            <w:r w:rsidRPr="00FD1A75">
              <w:t>% EU/OSI</w:t>
            </w:r>
          </w:p>
        </w:tc>
        <w:tc>
          <w:tcPr>
            <w:tcW w:w="972" w:type="pct"/>
          </w:tcPr>
          <w:p w14:paraId="09F75435" w14:textId="77777777" w:rsidR="0038061C" w:rsidRPr="0038061C" w:rsidRDefault="0038061C" w:rsidP="00FD1A75">
            <w:pPr>
              <w:jc w:val="center"/>
              <w:rPr>
                <w:i/>
              </w:rPr>
            </w:pPr>
            <w:r w:rsidRPr="0038061C">
              <w:rPr>
                <w:i/>
              </w:rPr>
              <w:t>13.3%</w:t>
            </w:r>
          </w:p>
        </w:tc>
        <w:tc>
          <w:tcPr>
            <w:tcW w:w="1002" w:type="pct"/>
          </w:tcPr>
          <w:p w14:paraId="70663CF5" w14:textId="77777777" w:rsidR="0038061C" w:rsidRPr="00FD1A75" w:rsidRDefault="0038061C" w:rsidP="00FD1A75">
            <w:pPr>
              <w:jc w:val="center"/>
            </w:pPr>
            <w:r w:rsidRPr="00FD1A75">
              <w:t>21.5%</w:t>
            </w:r>
          </w:p>
        </w:tc>
        <w:tc>
          <w:tcPr>
            <w:tcW w:w="998" w:type="pct"/>
          </w:tcPr>
          <w:p w14:paraId="1D3D7CB1" w14:textId="77777777" w:rsidR="0038061C" w:rsidRPr="00FD1A75" w:rsidRDefault="0038061C" w:rsidP="00FD1A75">
            <w:pPr>
              <w:jc w:val="center"/>
            </w:pPr>
            <w:r w:rsidRPr="00FD1A75">
              <w:t>21.1%</w:t>
            </w:r>
          </w:p>
        </w:tc>
        <w:tc>
          <w:tcPr>
            <w:tcW w:w="347" w:type="pct"/>
          </w:tcPr>
          <w:p w14:paraId="0E214952" w14:textId="4BBC8358" w:rsidR="0038061C" w:rsidRPr="00066C43" w:rsidRDefault="0038061C" w:rsidP="00FD1A75">
            <w:pPr>
              <w:jc w:val="center"/>
            </w:pPr>
            <w:r w:rsidRPr="00066C43">
              <w:rPr>
                <w:rFonts w:cstheme="minorHAnsi"/>
              </w:rPr>
              <w:t>↓</w:t>
            </w:r>
          </w:p>
        </w:tc>
      </w:tr>
    </w:tbl>
    <w:p w14:paraId="289BB600" w14:textId="77777777" w:rsidR="00FD1A75" w:rsidRPr="00FD1A75" w:rsidRDefault="00FD1A75" w:rsidP="00467BC2">
      <w:pPr>
        <w:pStyle w:val="Heading2"/>
        <w:numPr>
          <w:ilvl w:val="1"/>
          <w:numId w:val="4"/>
        </w:numPr>
      </w:pPr>
      <w:bookmarkStart w:id="83" w:name="_Toc55202791"/>
      <w:bookmarkStart w:id="84" w:name="_Toc55219263"/>
      <w:bookmarkStart w:id="85" w:name="_Toc55573539"/>
      <w:bookmarkStart w:id="86" w:name="_Toc57023237"/>
      <w:bookmarkStart w:id="87" w:name="_Toc63432752"/>
      <w:r w:rsidRPr="00FD1A75">
        <w:t>Athena SWAN</w:t>
      </w:r>
      <w:bookmarkEnd w:id="83"/>
      <w:bookmarkEnd w:id="84"/>
      <w:bookmarkEnd w:id="85"/>
      <w:bookmarkEnd w:id="86"/>
      <w:bookmarkEnd w:id="87"/>
    </w:p>
    <w:tbl>
      <w:tblPr>
        <w:tblStyle w:val="TableGrid"/>
        <w:tblW w:w="0" w:type="auto"/>
        <w:tblLook w:val="04A0" w:firstRow="1" w:lastRow="0" w:firstColumn="1" w:lastColumn="0" w:noHBand="0" w:noVBand="1"/>
      </w:tblPr>
      <w:tblGrid>
        <w:gridCol w:w="3256"/>
        <w:gridCol w:w="1842"/>
        <w:gridCol w:w="1985"/>
        <w:gridCol w:w="1933"/>
      </w:tblGrid>
      <w:tr w:rsidR="00FD1A75" w:rsidRPr="00FD1A75" w14:paraId="50A86750" w14:textId="77777777" w:rsidTr="00FD1A75">
        <w:tc>
          <w:tcPr>
            <w:tcW w:w="3256" w:type="dxa"/>
            <w:shd w:val="clear" w:color="auto" w:fill="8EAADB" w:themeFill="accent5" w:themeFillTint="99"/>
          </w:tcPr>
          <w:p w14:paraId="78A1F1FE" w14:textId="77777777" w:rsidR="00FD1A75" w:rsidRPr="00FD1A75" w:rsidRDefault="00FD1A75" w:rsidP="00FD1A75">
            <w:pPr>
              <w:jc w:val="center"/>
              <w:rPr>
                <w:b/>
              </w:rPr>
            </w:pPr>
          </w:p>
        </w:tc>
        <w:tc>
          <w:tcPr>
            <w:tcW w:w="1842" w:type="dxa"/>
            <w:shd w:val="clear" w:color="auto" w:fill="8EAADB" w:themeFill="accent5" w:themeFillTint="99"/>
          </w:tcPr>
          <w:p w14:paraId="77CD8EDD" w14:textId="77777777" w:rsidR="00FD1A75" w:rsidRPr="00FD1A75" w:rsidRDefault="00FD1A75" w:rsidP="00FD1A75">
            <w:pPr>
              <w:jc w:val="center"/>
              <w:rPr>
                <w:b/>
              </w:rPr>
            </w:pPr>
            <w:r w:rsidRPr="00FD1A75">
              <w:rPr>
                <w:b/>
              </w:rPr>
              <w:t>2017/18</w:t>
            </w:r>
          </w:p>
        </w:tc>
        <w:tc>
          <w:tcPr>
            <w:tcW w:w="1985" w:type="dxa"/>
            <w:shd w:val="clear" w:color="auto" w:fill="8EAADB" w:themeFill="accent5" w:themeFillTint="99"/>
          </w:tcPr>
          <w:p w14:paraId="23EE9C36" w14:textId="77777777" w:rsidR="00FD1A75" w:rsidRPr="00FD1A75" w:rsidRDefault="00FD1A75" w:rsidP="00FD1A75">
            <w:pPr>
              <w:jc w:val="center"/>
              <w:rPr>
                <w:b/>
              </w:rPr>
            </w:pPr>
            <w:r w:rsidRPr="00FD1A75">
              <w:rPr>
                <w:b/>
              </w:rPr>
              <w:t>2018/19</w:t>
            </w:r>
          </w:p>
        </w:tc>
        <w:tc>
          <w:tcPr>
            <w:tcW w:w="1933" w:type="dxa"/>
            <w:shd w:val="clear" w:color="auto" w:fill="8EAADB" w:themeFill="accent5" w:themeFillTint="99"/>
          </w:tcPr>
          <w:p w14:paraId="13EB9B10" w14:textId="77777777" w:rsidR="00FD1A75" w:rsidRPr="00FD1A75" w:rsidRDefault="00FD1A75" w:rsidP="00FD1A75">
            <w:pPr>
              <w:jc w:val="center"/>
              <w:rPr>
                <w:b/>
              </w:rPr>
            </w:pPr>
            <w:r w:rsidRPr="00FD1A75">
              <w:rPr>
                <w:b/>
              </w:rPr>
              <w:t>2019/20</w:t>
            </w:r>
          </w:p>
        </w:tc>
      </w:tr>
      <w:tr w:rsidR="00FD1A75" w:rsidRPr="00FD1A75" w14:paraId="34F573BB" w14:textId="77777777" w:rsidTr="00FD1A75">
        <w:tc>
          <w:tcPr>
            <w:tcW w:w="3256" w:type="dxa"/>
            <w:tcBorders>
              <w:top w:val="nil"/>
              <w:left w:val="single" w:sz="8" w:space="0" w:color="auto"/>
              <w:bottom w:val="single" w:sz="8" w:space="0" w:color="auto"/>
              <w:right w:val="single" w:sz="8" w:space="0" w:color="auto"/>
            </w:tcBorders>
            <w:shd w:val="clear" w:color="auto" w:fill="auto"/>
          </w:tcPr>
          <w:p w14:paraId="6790523C" w14:textId="77777777" w:rsidR="00FD1A75" w:rsidRPr="00FD1A75" w:rsidRDefault="00FD1A75" w:rsidP="00FD1A75">
            <w:pPr>
              <w:rPr>
                <w:sz w:val="22"/>
              </w:rPr>
            </w:pPr>
            <w:r w:rsidRPr="00FD1A75">
              <w:t>% Bronze Awards</w:t>
            </w:r>
          </w:p>
        </w:tc>
        <w:tc>
          <w:tcPr>
            <w:tcW w:w="1842" w:type="dxa"/>
            <w:tcBorders>
              <w:top w:val="nil"/>
              <w:left w:val="nil"/>
              <w:bottom w:val="single" w:sz="8" w:space="0" w:color="auto"/>
              <w:right w:val="single" w:sz="8" w:space="0" w:color="auto"/>
            </w:tcBorders>
            <w:shd w:val="clear" w:color="auto" w:fill="auto"/>
          </w:tcPr>
          <w:p w14:paraId="26AFB066" w14:textId="77777777" w:rsidR="00FD1A75" w:rsidRPr="00FD1A75" w:rsidRDefault="00FD1A75" w:rsidP="00FD1A75">
            <w:pPr>
              <w:jc w:val="center"/>
            </w:pPr>
            <w:r w:rsidRPr="00FD1A75">
              <w:t>38%</w:t>
            </w:r>
          </w:p>
        </w:tc>
        <w:tc>
          <w:tcPr>
            <w:tcW w:w="1985" w:type="dxa"/>
            <w:tcBorders>
              <w:top w:val="nil"/>
              <w:left w:val="nil"/>
              <w:bottom w:val="single" w:sz="8" w:space="0" w:color="auto"/>
              <w:right w:val="single" w:sz="8" w:space="0" w:color="auto"/>
            </w:tcBorders>
            <w:shd w:val="clear" w:color="auto" w:fill="auto"/>
          </w:tcPr>
          <w:p w14:paraId="3D0F0269" w14:textId="77777777" w:rsidR="00FD1A75" w:rsidRPr="00FD1A75" w:rsidRDefault="00FD1A75" w:rsidP="00FD1A75">
            <w:pPr>
              <w:jc w:val="center"/>
            </w:pPr>
            <w:r w:rsidRPr="00FD1A75">
              <w:t>44%</w:t>
            </w:r>
          </w:p>
        </w:tc>
        <w:tc>
          <w:tcPr>
            <w:tcW w:w="1933" w:type="dxa"/>
            <w:tcBorders>
              <w:top w:val="nil"/>
              <w:left w:val="nil"/>
              <w:bottom w:val="single" w:sz="8" w:space="0" w:color="auto"/>
              <w:right w:val="single" w:sz="8" w:space="0" w:color="auto"/>
            </w:tcBorders>
            <w:shd w:val="clear" w:color="auto" w:fill="auto"/>
          </w:tcPr>
          <w:p w14:paraId="03DC4952" w14:textId="77777777" w:rsidR="00FD1A75" w:rsidRPr="00FD1A75" w:rsidRDefault="00FD1A75" w:rsidP="00FD1A75">
            <w:pPr>
              <w:jc w:val="center"/>
            </w:pPr>
            <w:r w:rsidRPr="00FD1A75">
              <w:t>44%</w:t>
            </w:r>
          </w:p>
        </w:tc>
      </w:tr>
      <w:tr w:rsidR="00FD1A75" w:rsidRPr="00FD1A75" w14:paraId="2108CA1C" w14:textId="77777777" w:rsidTr="00FD1A75">
        <w:tc>
          <w:tcPr>
            <w:tcW w:w="3256" w:type="dxa"/>
            <w:shd w:val="clear" w:color="auto" w:fill="auto"/>
          </w:tcPr>
          <w:p w14:paraId="47659577" w14:textId="77777777" w:rsidR="00FD1A75" w:rsidRPr="00FD1A75" w:rsidRDefault="00FD1A75" w:rsidP="00FD1A75">
            <w:r w:rsidRPr="00FD1A75">
              <w:t>% Silver Awards</w:t>
            </w:r>
          </w:p>
        </w:tc>
        <w:tc>
          <w:tcPr>
            <w:tcW w:w="1842" w:type="dxa"/>
            <w:tcBorders>
              <w:top w:val="nil"/>
              <w:left w:val="nil"/>
              <w:bottom w:val="single" w:sz="8" w:space="0" w:color="auto"/>
              <w:right w:val="single" w:sz="8" w:space="0" w:color="auto"/>
            </w:tcBorders>
            <w:shd w:val="clear" w:color="auto" w:fill="auto"/>
          </w:tcPr>
          <w:p w14:paraId="1F23C97A" w14:textId="77777777" w:rsidR="00FD1A75" w:rsidRPr="00FD1A75" w:rsidRDefault="00FD1A75" w:rsidP="00FD1A75">
            <w:pPr>
              <w:jc w:val="center"/>
              <w:rPr>
                <w:sz w:val="22"/>
              </w:rPr>
            </w:pPr>
            <w:r w:rsidRPr="00FD1A75">
              <w:t>31%</w:t>
            </w:r>
          </w:p>
        </w:tc>
        <w:tc>
          <w:tcPr>
            <w:tcW w:w="1985" w:type="dxa"/>
            <w:tcBorders>
              <w:top w:val="nil"/>
              <w:left w:val="nil"/>
              <w:bottom w:val="single" w:sz="8" w:space="0" w:color="auto"/>
              <w:right w:val="single" w:sz="8" w:space="0" w:color="auto"/>
            </w:tcBorders>
            <w:shd w:val="clear" w:color="auto" w:fill="auto"/>
          </w:tcPr>
          <w:p w14:paraId="3AF51F98" w14:textId="77777777" w:rsidR="00FD1A75" w:rsidRPr="00FD1A75" w:rsidRDefault="00FD1A75" w:rsidP="00FD1A75">
            <w:pPr>
              <w:jc w:val="center"/>
            </w:pPr>
            <w:r w:rsidRPr="00FD1A75">
              <w:t>38%</w:t>
            </w:r>
          </w:p>
        </w:tc>
        <w:tc>
          <w:tcPr>
            <w:tcW w:w="1933" w:type="dxa"/>
            <w:tcBorders>
              <w:top w:val="nil"/>
              <w:left w:val="nil"/>
              <w:bottom w:val="single" w:sz="8" w:space="0" w:color="auto"/>
              <w:right w:val="single" w:sz="8" w:space="0" w:color="auto"/>
            </w:tcBorders>
            <w:shd w:val="clear" w:color="auto" w:fill="auto"/>
          </w:tcPr>
          <w:p w14:paraId="68C9CEA0" w14:textId="77777777" w:rsidR="00FD1A75" w:rsidRPr="00FD1A75" w:rsidRDefault="00FD1A75" w:rsidP="00FD1A75">
            <w:pPr>
              <w:jc w:val="center"/>
            </w:pPr>
            <w:r w:rsidRPr="00FD1A75">
              <w:t>38%</w:t>
            </w:r>
          </w:p>
        </w:tc>
      </w:tr>
      <w:tr w:rsidR="00FD1A75" w:rsidRPr="00FD1A75" w14:paraId="5F72D189" w14:textId="77777777" w:rsidTr="00FD1A75">
        <w:tc>
          <w:tcPr>
            <w:tcW w:w="3256" w:type="dxa"/>
            <w:shd w:val="clear" w:color="auto" w:fill="auto"/>
          </w:tcPr>
          <w:p w14:paraId="693E62EB" w14:textId="77777777" w:rsidR="00FD1A75" w:rsidRPr="00FD1A75" w:rsidRDefault="00FD1A75" w:rsidP="00FD1A75">
            <w:r w:rsidRPr="00FD1A75">
              <w:t>% Gold Awards</w:t>
            </w:r>
          </w:p>
        </w:tc>
        <w:tc>
          <w:tcPr>
            <w:tcW w:w="1842" w:type="dxa"/>
            <w:tcBorders>
              <w:top w:val="nil"/>
              <w:left w:val="nil"/>
              <w:bottom w:val="single" w:sz="8" w:space="0" w:color="auto"/>
              <w:right w:val="single" w:sz="8" w:space="0" w:color="auto"/>
            </w:tcBorders>
            <w:shd w:val="clear" w:color="auto" w:fill="auto"/>
          </w:tcPr>
          <w:p w14:paraId="1965CDE8" w14:textId="77777777" w:rsidR="00FD1A75" w:rsidRPr="00FD1A75" w:rsidRDefault="00FD1A75" w:rsidP="00FD1A75">
            <w:pPr>
              <w:jc w:val="center"/>
            </w:pPr>
            <w:r w:rsidRPr="00FD1A75">
              <w:t>6%</w:t>
            </w:r>
          </w:p>
        </w:tc>
        <w:tc>
          <w:tcPr>
            <w:tcW w:w="1985" w:type="dxa"/>
            <w:tcBorders>
              <w:top w:val="nil"/>
              <w:left w:val="nil"/>
              <w:bottom w:val="single" w:sz="8" w:space="0" w:color="auto"/>
              <w:right w:val="single" w:sz="8" w:space="0" w:color="auto"/>
            </w:tcBorders>
            <w:shd w:val="clear" w:color="auto" w:fill="auto"/>
          </w:tcPr>
          <w:p w14:paraId="7198EC69" w14:textId="77777777" w:rsidR="00FD1A75" w:rsidRPr="00FD1A75" w:rsidRDefault="00FD1A75" w:rsidP="00FD1A75">
            <w:pPr>
              <w:jc w:val="center"/>
            </w:pPr>
            <w:r w:rsidRPr="00FD1A75">
              <w:t>6%</w:t>
            </w:r>
          </w:p>
        </w:tc>
        <w:tc>
          <w:tcPr>
            <w:tcW w:w="1933" w:type="dxa"/>
            <w:tcBorders>
              <w:top w:val="nil"/>
              <w:left w:val="nil"/>
              <w:bottom w:val="single" w:sz="8" w:space="0" w:color="auto"/>
              <w:right w:val="single" w:sz="8" w:space="0" w:color="auto"/>
            </w:tcBorders>
            <w:shd w:val="clear" w:color="auto" w:fill="auto"/>
          </w:tcPr>
          <w:p w14:paraId="12B25BA7" w14:textId="77777777" w:rsidR="00FD1A75" w:rsidRPr="00FD1A75" w:rsidRDefault="00FD1A75" w:rsidP="00FD1A75">
            <w:pPr>
              <w:jc w:val="center"/>
            </w:pPr>
            <w:r w:rsidRPr="00FD1A75">
              <w:t>6%</w:t>
            </w:r>
          </w:p>
        </w:tc>
      </w:tr>
    </w:tbl>
    <w:p w14:paraId="52DD53A1" w14:textId="77777777" w:rsidR="00FD1A75" w:rsidRPr="00FD1A75" w:rsidRDefault="00FD1A75" w:rsidP="00467BC2">
      <w:pPr>
        <w:pStyle w:val="Heading2"/>
        <w:numPr>
          <w:ilvl w:val="1"/>
          <w:numId w:val="4"/>
        </w:numPr>
      </w:pPr>
      <w:bookmarkStart w:id="88" w:name="_Toc55202792"/>
      <w:bookmarkStart w:id="89" w:name="_Toc55219264"/>
      <w:bookmarkStart w:id="90" w:name="_Toc55573540"/>
      <w:bookmarkStart w:id="91" w:name="_Toc57023238"/>
      <w:bookmarkStart w:id="92" w:name="_Toc63432753"/>
      <w:r w:rsidRPr="00FD1A75">
        <w:t>Pay Gap Median Calculation</w:t>
      </w:r>
      <w:bookmarkEnd w:id="88"/>
      <w:bookmarkEnd w:id="89"/>
      <w:bookmarkEnd w:id="90"/>
      <w:bookmarkEnd w:id="91"/>
      <w:bookmarkEnd w:id="92"/>
    </w:p>
    <w:tbl>
      <w:tblPr>
        <w:tblStyle w:val="TableGrid"/>
        <w:tblW w:w="5000" w:type="pct"/>
        <w:tblLook w:val="04A0" w:firstRow="1" w:lastRow="0" w:firstColumn="1" w:lastColumn="0" w:noHBand="0" w:noVBand="1"/>
      </w:tblPr>
      <w:tblGrid>
        <w:gridCol w:w="3030"/>
        <w:gridCol w:w="1753"/>
        <w:gridCol w:w="1807"/>
        <w:gridCol w:w="1800"/>
        <w:gridCol w:w="626"/>
      </w:tblGrid>
      <w:tr w:rsidR="0038061C" w:rsidRPr="00FD1A75" w14:paraId="16C3CE29" w14:textId="27CF50F1" w:rsidTr="0038061C">
        <w:tc>
          <w:tcPr>
            <w:tcW w:w="1680" w:type="pct"/>
            <w:shd w:val="clear" w:color="auto" w:fill="8EAADB" w:themeFill="accent5" w:themeFillTint="99"/>
          </w:tcPr>
          <w:p w14:paraId="0FDE1FAF" w14:textId="77777777" w:rsidR="0038061C" w:rsidRPr="00FD1A75" w:rsidRDefault="0038061C" w:rsidP="00FD1A75">
            <w:pPr>
              <w:rPr>
                <w:b/>
              </w:rPr>
            </w:pPr>
          </w:p>
        </w:tc>
        <w:tc>
          <w:tcPr>
            <w:tcW w:w="972" w:type="pct"/>
            <w:shd w:val="clear" w:color="auto" w:fill="8EAADB" w:themeFill="accent5" w:themeFillTint="99"/>
          </w:tcPr>
          <w:p w14:paraId="57722808" w14:textId="77777777" w:rsidR="0038061C" w:rsidRPr="00FD1A75" w:rsidRDefault="0038061C" w:rsidP="00FD1A75">
            <w:pPr>
              <w:jc w:val="center"/>
              <w:rPr>
                <w:b/>
              </w:rPr>
            </w:pPr>
            <w:r w:rsidRPr="00FD1A75">
              <w:rPr>
                <w:b/>
              </w:rPr>
              <w:t>2018</w:t>
            </w:r>
          </w:p>
        </w:tc>
        <w:tc>
          <w:tcPr>
            <w:tcW w:w="1002" w:type="pct"/>
            <w:shd w:val="clear" w:color="auto" w:fill="8EAADB" w:themeFill="accent5" w:themeFillTint="99"/>
          </w:tcPr>
          <w:p w14:paraId="5176A23B" w14:textId="77777777" w:rsidR="0038061C" w:rsidRPr="00FD1A75" w:rsidRDefault="0038061C" w:rsidP="00FD1A75">
            <w:pPr>
              <w:jc w:val="center"/>
              <w:rPr>
                <w:b/>
              </w:rPr>
            </w:pPr>
            <w:r w:rsidRPr="00FD1A75">
              <w:rPr>
                <w:b/>
              </w:rPr>
              <w:t>2019</w:t>
            </w:r>
          </w:p>
        </w:tc>
        <w:tc>
          <w:tcPr>
            <w:tcW w:w="998" w:type="pct"/>
            <w:shd w:val="clear" w:color="auto" w:fill="8EAADB" w:themeFill="accent5" w:themeFillTint="99"/>
          </w:tcPr>
          <w:p w14:paraId="4F3A9DC8" w14:textId="77777777" w:rsidR="0038061C" w:rsidRPr="00FD1A75" w:rsidRDefault="0038061C" w:rsidP="00FD1A75">
            <w:pPr>
              <w:jc w:val="center"/>
              <w:rPr>
                <w:b/>
              </w:rPr>
            </w:pPr>
            <w:r w:rsidRPr="00FD1A75">
              <w:rPr>
                <w:b/>
              </w:rPr>
              <w:t>2020</w:t>
            </w:r>
          </w:p>
        </w:tc>
        <w:tc>
          <w:tcPr>
            <w:tcW w:w="347" w:type="pct"/>
            <w:shd w:val="clear" w:color="auto" w:fill="8EAADB" w:themeFill="accent5" w:themeFillTint="99"/>
          </w:tcPr>
          <w:p w14:paraId="5760EAD7" w14:textId="77777777" w:rsidR="0038061C" w:rsidRPr="00066C43" w:rsidRDefault="0038061C" w:rsidP="00FD1A75">
            <w:pPr>
              <w:jc w:val="center"/>
            </w:pPr>
          </w:p>
        </w:tc>
      </w:tr>
      <w:tr w:rsidR="0038061C" w:rsidRPr="00FD1A75" w14:paraId="4C5D521F" w14:textId="3C1E2A46" w:rsidTr="0038061C">
        <w:tc>
          <w:tcPr>
            <w:tcW w:w="1680" w:type="pct"/>
          </w:tcPr>
          <w:p w14:paraId="70C8BFD3" w14:textId="77777777" w:rsidR="0038061C" w:rsidRPr="00FD1A75" w:rsidRDefault="0038061C" w:rsidP="00FD1A75">
            <w:r w:rsidRPr="00FD1A75">
              <w:t>Female v Male</w:t>
            </w:r>
          </w:p>
        </w:tc>
        <w:tc>
          <w:tcPr>
            <w:tcW w:w="972" w:type="pct"/>
            <w:shd w:val="clear" w:color="auto" w:fill="auto"/>
          </w:tcPr>
          <w:p w14:paraId="6074060D" w14:textId="08638BA4" w:rsidR="0038061C" w:rsidRPr="00FD1A75" w:rsidRDefault="0038061C" w:rsidP="00FD1A75">
            <w:pPr>
              <w:jc w:val="center"/>
            </w:pPr>
            <w:r>
              <w:t>19.00</w:t>
            </w:r>
          </w:p>
        </w:tc>
        <w:tc>
          <w:tcPr>
            <w:tcW w:w="1002" w:type="pct"/>
            <w:shd w:val="clear" w:color="auto" w:fill="auto"/>
          </w:tcPr>
          <w:p w14:paraId="5E18F910" w14:textId="1660532C" w:rsidR="0038061C" w:rsidRPr="00FD1A75" w:rsidRDefault="0038061C" w:rsidP="00FD1A75">
            <w:pPr>
              <w:jc w:val="center"/>
            </w:pPr>
            <w:r>
              <w:t>15.49</w:t>
            </w:r>
          </w:p>
        </w:tc>
        <w:tc>
          <w:tcPr>
            <w:tcW w:w="998" w:type="pct"/>
            <w:shd w:val="clear" w:color="auto" w:fill="auto"/>
          </w:tcPr>
          <w:p w14:paraId="7F17BA91" w14:textId="7C08A1C2" w:rsidR="0038061C" w:rsidRPr="00FD1A75" w:rsidRDefault="0038061C" w:rsidP="00FD1A75">
            <w:pPr>
              <w:jc w:val="center"/>
            </w:pPr>
            <w:r>
              <w:t>16.18</w:t>
            </w:r>
          </w:p>
        </w:tc>
        <w:tc>
          <w:tcPr>
            <w:tcW w:w="347" w:type="pct"/>
          </w:tcPr>
          <w:p w14:paraId="6C48960B" w14:textId="48600ADA" w:rsidR="0038061C" w:rsidRPr="00066C43" w:rsidRDefault="0038061C" w:rsidP="00FD1A75">
            <w:pPr>
              <w:jc w:val="center"/>
            </w:pPr>
            <w:r w:rsidRPr="00066C43">
              <w:rPr>
                <w:rFonts w:cstheme="minorHAnsi"/>
                <w:i/>
              </w:rPr>
              <w:t>↑</w:t>
            </w:r>
          </w:p>
        </w:tc>
      </w:tr>
      <w:tr w:rsidR="0038061C" w:rsidRPr="00FD1A75" w14:paraId="48B68046" w14:textId="37B1234D" w:rsidTr="0038061C">
        <w:tc>
          <w:tcPr>
            <w:tcW w:w="1680" w:type="pct"/>
          </w:tcPr>
          <w:p w14:paraId="33245C6F" w14:textId="27A0A7EA" w:rsidR="0038061C" w:rsidRPr="00FD1A75" w:rsidRDefault="0038061C" w:rsidP="00FD1A75">
            <w:r w:rsidRPr="00FD1A75">
              <w:t>BAME</w:t>
            </w:r>
            <w:r w:rsidR="00B8192F">
              <w:t>+</w:t>
            </w:r>
            <w:r w:rsidRPr="00FD1A75">
              <w:t xml:space="preserve"> v White British</w:t>
            </w:r>
          </w:p>
        </w:tc>
        <w:tc>
          <w:tcPr>
            <w:tcW w:w="972" w:type="pct"/>
            <w:shd w:val="clear" w:color="auto" w:fill="auto"/>
          </w:tcPr>
          <w:p w14:paraId="14FADAC1" w14:textId="72285117" w:rsidR="0038061C" w:rsidRPr="00FD1A75" w:rsidRDefault="0038061C" w:rsidP="00FD1A75">
            <w:pPr>
              <w:jc w:val="center"/>
              <w:rPr>
                <w:color w:val="FF0000"/>
              </w:rPr>
            </w:pPr>
            <w:r>
              <w:rPr>
                <w:color w:val="FF0000"/>
              </w:rPr>
              <w:t>-13.22</w:t>
            </w:r>
          </w:p>
        </w:tc>
        <w:tc>
          <w:tcPr>
            <w:tcW w:w="1002" w:type="pct"/>
            <w:shd w:val="clear" w:color="auto" w:fill="auto"/>
          </w:tcPr>
          <w:p w14:paraId="76A6DC13" w14:textId="2BC9A76A" w:rsidR="0038061C" w:rsidRPr="00FD1A75" w:rsidRDefault="0038061C" w:rsidP="00FD1A75">
            <w:pPr>
              <w:jc w:val="center"/>
              <w:rPr>
                <w:color w:val="FF0000"/>
              </w:rPr>
            </w:pPr>
            <w:r>
              <w:rPr>
                <w:color w:val="FF0000"/>
              </w:rPr>
              <w:t>-12.34</w:t>
            </w:r>
          </w:p>
        </w:tc>
        <w:tc>
          <w:tcPr>
            <w:tcW w:w="998" w:type="pct"/>
            <w:shd w:val="clear" w:color="auto" w:fill="auto"/>
          </w:tcPr>
          <w:p w14:paraId="7A55CD6B" w14:textId="068EB530" w:rsidR="0038061C" w:rsidRPr="0038061C" w:rsidRDefault="0038061C" w:rsidP="00FD1A75">
            <w:pPr>
              <w:jc w:val="center"/>
              <w:rPr>
                <w:color w:val="FF0000"/>
              </w:rPr>
            </w:pPr>
            <w:r w:rsidRPr="0038061C">
              <w:rPr>
                <w:color w:val="FF0000"/>
              </w:rPr>
              <w:t>-14.57</w:t>
            </w:r>
          </w:p>
        </w:tc>
        <w:tc>
          <w:tcPr>
            <w:tcW w:w="347" w:type="pct"/>
          </w:tcPr>
          <w:p w14:paraId="21A40BD4" w14:textId="278D2ADC" w:rsidR="0038061C" w:rsidRPr="00066C43" w:rsidRDefault="0038061C" w:rsidP="00FD1A75">
            <w:pPr>
              <w:jc w:val="center"/>
            </w:pPr>
            <w:r w:rsidRPr="00066C43">
              <w:rPr>
                <w:rFonts w:cstheme="minorHAnsi"/>
                <w:i/>
              </w:rPr>
              <w:t>↑</w:t>
            </w:r>
          </w:p>
        </w:tc>
      </w:tr>
      <w:tr w:rsidR="0038061C" w:rsidRPr="00FD1A75" w14:paraId="2ECCE636" w14:textId="2D66891A" w:rsidTr="0038061C">
        <w:tc>
          <w:tcPr>
            <w:tcW w:w="1680" w:type="pct"/>
          </w:tcPr>
          <w:p w14:paraId="1C63E7C1" w14:textId="77777777" w:rsidR="0038061C" w:rsidRPr="00FD1A75" w:rsidRDefault="0038061C" w:rsidP="00FD1A75">
            <w:r w:rsidRPr="00FD1A75">
              <w:t>PoC v White</w:t>
            </w:r>
          </w:p>
        </w:tc>
        <w:tc>
          <w:tcPr>
            <w:tcW w:w="972" w:type="pct"/>
            <w:shd w:val="clear" w:color="auto" w:fill="auto"/>
          </w:tcPr>
          <w:p w14:paraId="3FBEA749" w14:textId="77777777" w:rsidR="0038061C" w:rsidRPr="00FD1A75" w:rsidRDefault="0038061C" w:rsidP="00FD1A75">
            <w:pPr>
              <w:jc w:val="center"/>
              <w:rPr>
                <w:color w:val="FF0000"/>
              </w:rPr>
            </w:pPr>
            <w:r w:rsidRPr="00FD1A75">
              <w:rPr>
                <w:color w:val="FF0000"/>
              </w:rPr>
              <w:t>-6</w:t>
            </w:r>
            <w:r>
              <w:rPr>
                <w:color w:val="FF0000"/>
              </w:rPr>
              <w:t>.03</w:t>
            </w:r>
          </w:p>
        </w:tc>
        <w:tc>
          <w:tcPr>
            <w:tcW w:w="1002" w:type="pct"/>
            <w:shd w:val="clear" w:color="auto" w:fill="auto"/>
          </w:tcPr>
          <w:p w14:paraId="10248300" w14:textId="77777777" w:rsidR="0038061C" w:rsidRPr="00FD1A75" w:rsidRDefault="0038061C" w:rsidP="00FD1A75">
            <w:pPr>
              <w:jc w:val="center"/>
              <w:rPr>
                <w:color w:val="FF0000"/>
              </w:rPr>
            </w:pPr>
            <w:r>
              <w:rPr>
                <w:color w:val="FF0000"/>
              </w:rPr>
              <w:t>-0.53</w:t>
            </w:r>
          </w:p>
        </w:tc>
        <w:tc>
          <w:tcPr>
            <w:tcW w:w="998" w:type="pct"/>
            <w:shd w:val="clear" w:color="auto" w:fill="auto"/>
          </w:tcPr>
          <w:p w14:paraId="63C2448E" w14:textId="0FBBD96B" w:rsidR="0038061C" w:rsidRPr="0038061C" w:rsidRDefault="0038061C" w:rsidP="00FD1A75">
            <w:pPr>
              <w:jc w:val="center"/>
              <w:rPr>
                <w:color w:val="FF0000"/>
              </w:rPr>
            </w:pPr>
            <w:r w:rsidRPr="0038061C">
              <w:rPr>
                <w:color w:val="FF0000"/>
              </w:rPr>
              <w:t>-4.89</w:t>
            </w:r>
          </w:p>
        </w:tc>
        <w:tc>
          <w:tcPr>
            <w:tcW w:w="347" w:type="pct"/>
          </w:tcPr>
          <w:p w14:paraId="51A6700E" w14:textId="6DB1EF58" w:rsidR="0038061C" w:rsidRPr="00066C43" w:rsidRDefault="0038061C" w:rsidP="00FD1A75">
            <w:pPr>
              <w:jc w:val="center"/>
            </w:pPr>
            <w:r w:rsidRPr="00066C43">
              <w:rPr>
                <w:rFonts w:cstheme="minorHAnsi"/>
                <w:i/>
              </w:rPr>
              <w:t>↑</w:t>
            </w:r>
          </w:p>
        </w:tc>
      </w:tr>
      <w:tr w:rsidR="0038061C" w:rsidRPr="00FD1A75" w14:paraId="344A21F5" w14:textId="7925991B" w:rsidTr="0038061C">
        <w:tc>
          <w:tcPr>
            <w:tcW w:w="1680" w:type="pct"/>
          </w:tcPr>
          <w:p w14:paraId="05A86B4E" w14:textId="77777777" w:rsidR="0038061C" w:rsidRPr="00FD1A75" w:rsidRDefault="0038061C" w:rsidP="00FD1A75">
            <w:r w:rsidRPr="00FD1A75">
              <w:t>Disabled v No Disability</w:t>
            </w:r>
          </w:p>
        </w:tc>
        <w:tc>
          <w:tcPr>
            <w:tcW w:w="972" w:type="pct"/>
            <w:shd w:val="clear" w:color="auto" w:fill="auto"/>
          </w:tcPr>
          <w:p w14:paraId="29293FF7" w14:textId="496FC6E3" w:rsidR="0038061C" w:rsidRPr="00FD1A75" w:rsidRDefault="0038061C" w:rsidP="00FD1A75">
            <w:pPr>
              <w:jc w:val="center"/>
            </w:pPr>
            <w:r>
              <w:t>11.10</w:t>
            </w:r>
          </w:p>
        </w:tc>
        <w:tc>
          <w:tcPr>
            <w:tcW w:w="1002" w:type="pct"/>
            <w:shd w:val="clear" w:color="auto" w:fill="auto"/>
          </w:tcPr>
          <w:p w14:paraId="2E87BC26" w14:textId="64F5EC1B" w:rsidR="0038061C" w:rsidRPr="00FD1A75" w:rsidRDefault="0038061C" w:rsidP="00FD1A75">
            <w:pPr>
              <w:jc w:val="center"/>
            </w:pPr>
            <w:r>
              <w:t>9.59</w:t>
            </w:r>
          </w:p>
        </w:tc>
        <w:tc>
          <w:tcPr>
            <w:tcW w:w="998" w:type="pct"/>
            <w:shd w:val="clear" w:color="auto" w:fill="auto"/>
          </w:tcPr>
          <w:p w14:paraId="2849DA58" w14:textId="6DF0BF15" w:rsidR="0038061C" w:rsidRPr="00FD1A75" w:rsidRDefault="0038061C" w:rsidP="00FD1A75">
            <w:pPr>
              <w:jc w:val="center"/>
            </w:pPr>
            <w:r>
              <w:t>9.73</w:t>
            </w:r>
          </w:p>
        </w:tc>
        <w:tc>
          <w:tcPr>
            <w:tcW w:w="347" w:type="pct"/>
          </w:tcPr>
          <w:p w14:paraId="326FA0B6" w14:textId="5E37F05D" w:rsidR="0038061C" w:rsidRPr="00066C43" w:rsidRDefault="0038061C" w:rsidP="00FD1A75">
            <w:pPr>
              <w:jc w:val="center"/>
            </w:pPr>
            <w:r w:rsidRPr="00066C43">
              <w:rPr>
                <w:rFonts w:cstheme="minorHAnsi"/>
                <w:i/>
              </w:rPr>
              <w:t>↑</w:t>
            </w:r>
          </w:p>
        </w:tc>
      </w:tr>
      <w:tr w:rsidR="0038061C" w:rsidRPr="00FD1A75" w14:paraId="74FA31F2" w14:textId="77777777" w:rsidTr="0038061C">
        <w:tc>
          <w:tcPr>
            <w:tcW w:w="1680" w:type="pct"/>
          </w:tcPr>
          <w:p w14:paraId="6A62B0C5" w14:textId="3D5AF518" w:rsidR="0038061C" w:rsidRPr="00FD1A75" w:rsidRDefault="0038061C" w:rsidP="00FD1A75">
            <w:r>
              <w:t>LGB+ v Heterosexual</w:t>
            </w:r>
          </w:p>
        </w:tc>
        <w:tc>
          <w:tcPr>
            <w:tcW w:w="972" w:type="pct"/>
            <w:shd w:val="clear" w:color="auto" w:fill="auto"/>
          </w:tcPr>
          <w:p w14:paraId="67247850" w14:textId="65796E03" w:rsidR="0038061C" w:rsidRDefault="0038061C" w:rsidP="00FD1A75">
            <w:pPr>
              <w:jc w:val="center"/>
            </w:pPr>
            <w:r>
              <w:t>0.00</w:t>
            </w:r>
          </w:p>
        </w:tc>
        <w:tc>
          <w:tcPr>
            <w:tcW w:w="1002" w:type="pct"/>
            <w:shd w:val="clear" w:color="auto" w:fill="auto"/>
          </w:tcPr>
          <w:p w14:paraId="7D2893D6" w14:textId="7E7E5030" w:rsidR="0038061C" w:rsidRDefault="0038061C" w:rsidP="00FD1A75">
            <w:pPr>
              <w:jc w:val="center"/>
            </w:pPr>
            <w:r>
              <w:t>2.89</w:t>
            </w:r>
          </w:p>
        </w:tc>
        <w:tc>
          <w:tcPr>
            <w:tcW w:w="998" w:type="pct"/>
            <w:shd w:val="clear" w:color="auto" w:fill="auto"/>
          </w:tcPr>
          <w:p w14:paraId="18BC85D6" w14:textId="4ED73F3E" w:rsidR="0038061C" w:rsidRDefault="0038061C" w:rsidP="00FD1A75">
            <w:pPr>
              <w:jc w:val="center"/>
            </w:pPr>
            <w:r>
              <w:t>3.23</w:t>
            </w:r>
          </w:p>
        </w:tc>
        <w:tc>
          <w:tcPr>
            <w:tcW w:w="347" w:type="pct"/>
          </w:tcPr>
          <w:p w14:paraId="1367176B" w14:textId="5A920734" w:rsidR="0038061C" w:rsidRPr="00066C43" w:rsidRDefault="0038061C" w:rsidP="00FD1A75">
            <w:pPr>
              <w:jc w:val="center"/>
              <w:rPr>
                <w:rFonts w:cstheme="minorHAnsi"/>
                <w:i/>
              </w:rPr>
            </w:pPr>
            <w:r w:rsidRPr="00066C43">
              <w:rPr>
                <w:rFonts w:cstheme="minorHAnsi"/>
                <w:i/>
              </w:rPr>
              <w:t>↑</w:t>
            </w:r>
          </w:p>
        </w:tc>
      </w:tr>
    </w:tbl>
    <w:p w14:paraId="681F08B0" w14:textId="3C040E41" w:rsidR="00FD1A75" w:rsidRPr="00FD1A75" w:rsidRDefault="00FD1A75" w:rsidP="00467BC2">
      <w:pPr>
        <w:pStyle w:val="Heading2"/>
        <w:numPr>
          <w:ilvl w:val="1"/>
          <w:numId w:val="4"/>
        </w:numPr>
      </w:pPr>
      <w:bookmarkStart w:id="93" w:name="_Toc55202793"/>
      <w:bookmarkStart w:id="94" w:name="_Toc55219265"/>
      <w:bookmarkStart w:id="95" w:name="_Toc55573541"/>
      <w:bookmarkStart w:id="96" w:name="_Toc57023239"/>
      <w:bookmarkStart w:id="97" w:name="_Toc63432754"/>
      <w:r w:rsidRPr="00FD1A75">
        <w:t>Staff Survey</w:t>
      </w:r>
      <w:bookmarkEnd w:id="93"/>
      <w:bookmarkEnd w:id="94"/>
      <w:bookmarkEnd w:id="95"/>
      <w:bookmarkEnd w:id="96"/>
      <w:bookmarkEnd w:id="97"/>
      <w:r w:rsidRPr="00FD1A75">
        <w:t xml:space="preserve"> </w:t>
      </w:r>
    </w:p>
    <w:p w14:paraId="099D2D65" w14:textId="77777777" w:rsidR="00FD1A75" w:rsidRPr="00FD1A75" w:rsidRDefault="00FD1A75" w:rsidP="00FD1A75">
      <w:pPr>
        <w:keepNext/>
        <w:keepLines/>
        <w:spacing w:before="120" w:after="120"/>
        <w:outlineLvl w:val="2"/>
        <w:rPr>
          <w:rFonts w:asciiTheme="majorHAnsi" w:eastAsiaTheme="majorEastAsia" w:hAnsiTheme="majorHAnsi" w:cstheme="majorBidi"/>
          <w:szCs w:val="24"/>
          <w:u w:val="single"/>
        </w:rPr>
      </w:pPr>
      <w:bookmarkStart w:id="98" w:name="_Toc55202794"/>
      <w:bookmarkStart w:id="99" w:name="_Toc55219266"/>
      <w:bookmarkStart w:id="100" w:name="_Toc55241661"/>
      <w:bookmarkStart w:id="101" w:name="_Toc55573542"/>
      <w:bookmarkStart w:id="102" w:name="_Toc57023240"/>
      <w:bookmarkStart w:id="103" w:name="_Toc63432755"/>
      <w:r w:rsidRPr="00FD1A75">
        <w:rPr>
          <w:rFonts w:asciiTheme="majorHAnsi" w:eastAsiaTheme="majorEastAsia" w:hAnsiTheme="majorHAnsi" w:cstheme="majorBidi"/>
          <w:szCs w:val="24"/>
          <w:u w:val="single"/>
        </w:rPr>
        <w:t>Q) The University is committed to providing equality of opportunity for all staff</w:t>
      </w:r>
      <w:bookmarkEnd w:id="98"/>
      <w:bookmarkEnd w:id="99"/>
      <w:bookmarkEnd w:id="100"/>
      <w:bookmarkEnd w:id="101"/>
      <w:bookmarkEnd w:id="102"/>
      <w:bookmarkEnd w:id="103"/>
    </w:p>
    <w:tbl>
      <w:tblPr>
        <w:tblStyle w:val="TableGrid"/>
        <w:tblpPr w:leftFromText="180" w:rightFromText="180" w:vertAnchor="text" w:tblpY="1"/>
        <w:tblOverlap w:val="never"/>
        <w:tblW w:w="5000" w:type="pct"/>
        <w:tblLook w:val="04A0" w:firstRow="1" w:lastRow="0" w:firstColumn="1" w:lastColumn="0" w:noHBand="0" w:noVBand="1"/>
      </w:tblPr>
      <w:tblGrid>
        <w:gridCol w:w="3989"/>
        <w:gridCol w:w="1255"/>
        <w:gridCol w:w="1255"/>
        <w:gridCol w:w="1255"/>
        <w:gridCol w:w="1252"/>
      </w:tblGrid>
      <w:tr w:rsidR="00FD1A75" w:rsidRPr="00FD1A75" w14:paraId="6D961C6F" w14:textId="77777777" w:rsidTr="00FD1A75">
        <w:tc>
          <w:tcPr>
            <w:tcW w:w="2214" w:type="pct"/>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6DE32CEB" w14:textId="77777777" w:rsidR="00FD1A75" w:rsidRPr="00FD1A75" w:rsidRDefault="00FD1A75" w:rsidP="00FD1A75">
            <w:pPr>
              <w:jc w:val="center"/>
              <w:rPr>
                <w:b/>
                <w:bCs/>
                <w:sz w:val="22"/>
              </w:rPr>
            </w:pP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3F3F1A2C" w14:textId="77777777" w:rsidR="00FD1A75" w:rsidRPr="00FD1A75" w:rsidRDefault="00FD1A75" w:rsidP="00FD1A75">
            <w:pPr>
              <w:jc w:val="center"/>
              <w:rPr>
                <w:b/>
                <w:bCs/>
              </w:rPr>
            </w:pPr>
            <w:r w:rsidRPr="00FD1A75">
              <w:rPr>
                <w:b/>
                <w:bCs/>
              </w:rPr>
              <w:t>2010</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72DBEBEA" w14:textId="77777777" w:rsidR="00FD1A75" w:rsidRPr="00FD1A75" w:rsidRDefault="00FD1A75" w:rsidP="00FD1A75">
            <w:pPr>
              <w:jc w:val="center"/>
              <w:rPr>
                <w:b/>
                <w:bCs/>
              </w:rPr>
            </w:pPr>
            <w:r w:rsidRPr="00FD1A75">
              <w:rPr>
                <w:b/>
                <w:bCs/>
              </w:rPr>
              <w:t>2013</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79F6595B" w14:textId="77777777" w:rsidR="00FD1A75" w:rsidRPr="00FD1A75" w:rsidRDefault="00FD1A75" w:rsidP="00FD1A75">
            <w:pPr>
              <w:jc w:val="center"/>
              <w:rPr>
                <w:b/>
                <w:bCs/>
              </w:rPr>
            </w:pPr>
            <w:r w:rsidRPr="00FD1A75">
              <w:rPr>
                <w:b/>
                <w:bCs/>
              </w:rPr>
              <w:t>2016</w:t>
            </w:r>
          </w:p>
        </w:tc>
        <w:tc>
          <w:tcPr>
            <w:tcW w:w="696" w:type="pct"/>
            <w:tcBorders>
              <w:top w:val="single" w:sz="8" w:space="0" w:color="auto"/>
              <w:left w:val="nil"/>
              <w:bottom w:val="single" w:sz="8" w:space="0" w:color="auto"/>
              <w:right w:val="single" w:sz="8" w:space="0" w:color="auto"/>
            </w:tcBorders>
            <w:shd w:val="clear" w:color="auto" w:fill="8EAADB" w:themeFill="accent5" w:themeFillTint="99"/>
          </w:tcPr>
          <w:p w14:paraId="7ACEE0E1" w14:textId="77777777" w:rsidR="00FD1A75" w:rsidRPr="00FD1A75" w:rsidRDefault="00FD1A75" w:rsidP="00FD1A75">
            <w:pPr>
              <w:jc w:val="center"/>
              <w:rPr>
                <w:b/>
                <w:bCs/>
              </w:rPr>
            </w:pPr>
            <w:r w:rsidRPr="00FD1A75">
              <w:rPr>
                <w:b/>
                <w:bCs/>
              </w:rPr>
              <w:t>2019</w:t>
            </w:r>
          </w:p>
        </w:tc>
      </w:tr>
      <w:tr w:rsidR="00FD1A75" w:rsidRPr="00FD1A75" w14:paraId="770B3231" w14:textId="77777777" w:rsidTr="00FD1A75">
        <w:tc>
          <w:tcPr>
            <w:tcW w:w="2214" w:type="pct"/>
            <w:tcBorders>
              <w:top w:val="nil"/>
              <w:left w:val="single" w:sz="8" w:space="0" w:color="auto"/>
              <w:bottom w:val="single" w:sz="8" w:space="0" w:color="auto"/>
              <w:right w:val="single" w:sz="8" w:space="0" w:color="auto"/>
            </w:tcBorders>
          </w:tcPr>
          <w:p w14:paraId="32CDC28A" w14:textId="77777777" w:rsidR="00FD1A75" w:rsidRPr="00FD1A75" w:rsidRDefault="00FD1A75" w:rsidP="00FD1A75">
            <w:r w:rsidRPr="00FD1A75">
              <w:t>Disagree/Strongly Disagree</w:t>
            </w:r>
          </w:p>
        </w:tc>
        <w:tc>
          <w:tcPr>
            <w:tcW w:w="697" w:type="pct"/>
            <w:tcBorders>
              <w:top w:val="nil"/>
              <w:left w:val="nil"/>
              <w:bottom w:val="single" w:sz="8" w:space="0" w:color="auto"/>
              <w:right w:val="single" w:sz="8" w:space="0" w:color="auto"/>
            </w:tcBorders>
          </w:tcPr>
          <w:p w14:paraId="1AACF77C" w14:textId="77777777" w:rsidR="00FD1A75" w:rsidRPr="00FD1A75" w:rsidRDefault="00FD1A75" w:rsidP="00FD1A75">
            <w:pPr>
              <w:jc w:val="center"/>
            </w:pPr>
            <w:r w:rsidRPr="00FD1A75">
              <w:t>21%</w:t>
            </w:r>
          </w:p>
        </w:tc>
        <w:tc>
          <w:tcPr>
            <w:tcW w:w="697" w:type="pct"/>
            <w:tcBorders>
              <w:top w:val="nil"/>
              <w:left w:val="nil"/>
              <w:bottom w:val="single" w:sz="8" w:space="0" w:color="auto"/>
              <w:right w:val="single" w:sz="8" w:space="0" w:color="auto"/>
            </w:tcBorders>
          </w:tcPr>
          <w:p w14:paraId="789F113B" w14:textId="77777777" w:rsidR="00FD1A75" w:rsidRPr="00FD1A75" w:rsidRDefault="00FD1A75" w:rsidP="00FD1A75">
            <w:pPr>
              <w:jc w:val="center"/>
            </w:pPr>
            <w:r w:rsidRPr="00FD1A75">
              <w:t>20%</w:t>
            </w:r>
          </w:p>
        </w:tc>
        <w:tc>
          <w:tcPr>
            <w:tcW w:w="697" w:type="pct"/>
            <w:tcBorders>
              <w:top w:val="nil"/>
              <w:left w:val="nil"/>
              <w:bottom w:val="single" w:sz="8" w:space="0" w:color="auto"/>
              <w:right w:val="single" w:sz="8" w:space="0" w:color="auto"/>
            </w:tcBorders>
          </w:tcPr>
          <w:p w14:paraId="096505B0" w14:textId="77777777" w:rsidR="00FD1A75" w:rsidRPr="00FD1A75" w:rsidRDefault="00FD1A75" w:rsidP="00FD1A75">
            <w:pPr>
              <w:jc w:val="center"/>
            </w:pPr>
            <w:r w:rsidRPr="00FD1A75">
              <w:t>18%</w:t>
            </w:r>
          </w:p>
        </w:tc>
        <w:tc>
          <w:tcPr>
            <w:tcW w:w="696" w:type="pct"/>
            <w:tcBorders>
              <w:top w:val="nil"/>
              <w:left w:val="nil"/>
              <w:bottom w:val="single" w:sz="8" w:space="0" w:color="auto"/>
              <w:right w:val="single" w:sz="8" w:space="0" w:color="auto"/>
            </w:tcBorders>
          </w:tcPr>
          <w:p w14:paraId="0397F128" w14:textId="77777777" w:rsidR="00FD1A75" w:rsidRPr="00FD1A75" w:rsidRDefault="00FD1A75" w:rsidP="00FD1A75">
            <w:pPr>
              <w:jc w:val="center"/>
            </w:pPr>
            <w:r w:rsidRPr="00FD1A75">
              <w:t>21%</w:t>
            </w:r>
          </w:p>
        </w:tc>
      </w:tr>
    </w:tbl>
    <w:p w14:paraId="03917784" w14:textId="77777777" w:rsidR="00FD1A75" w:rsidRPr="00FD1A75" w:rsidRDefault="00FD1A75" w:rsidP="00FD1A75">
      <w:pPr>
        <w:keepNext/>
        <w:keepLines/>
        <w:spacing w:before="120" w:after="120"/>
        <w:outlineLvl w:val="2"/>
        <w:rPr>
          <w:rFonts w:asciiTheme="majorHAnsi" w:eastAsiaTheme="majorEastAsia" w:hAnsiTheme="majorHAnsi" w:cstheme="majorBidi"/>
          <w:szCs w:val="24"/>
          <w:u w:val="single"/>
        </w:rPr>
      </w:pPr>
      <w:bookmarkStart w:id="104" w:name="_Toc55202795"/>
      <w:bookmarkStart w:id="105" w:name="_Toc55219267"/>
      <w:bookmarkStart w:id="106" w:name="_Toc55241662"/>
      <w:bookmarkStart w:id="107" w:name="_Toc55573543"/>
      <w:bookmarkStart w:id="108" w:name="_Toc57023241"/>
      <w:bookmarkStart w:id="109" w:name="_Toc63432756"/>
      <w:r w:rsidRPr="00FD1A75">
        <w:rPr>
          <w:rFonts w:asciiTheme="majorHAnsi" w:eastAsiaTheme="majorEastAsia" w:hAnsiTheme="majorHAnsi" w:cstheme="majorBidi"/>
          <w:szCs w:val="24"/>
          <w:u w:val="single"/>
        </w:rPr>
        <w:t>Q) In the last year I have personally experienced bullying/harassment at the University</w:t>
      </w:r>
      <w:bookmarkEnd w:id="104"/>
      <w:bookmarkEnd w:id="105"/>
      <w:bookmarkEnd w:id="106"/>
      <w:bookmarkEnd w:id="107"/>
      <w:bookmarkEnd w:id="108"/>
      <w:bookmarkEnd w:id="109"/>
    </w:p>
    <w:p w14:paraId="7EA2C436" w14:textId="77777777" w:rsidR="00FD1A75" w:rsidRPr="00FD1A75" w:rsidRDefault="00FD1A75" w:rsidP="00FD1A75">
      <w:r w:rsidRPr="00FD1A75">
        <w:t>Previous question was “Are you currently being harassed or bullied at work?”</w:t>
      </w:r>
    </w:p>
    <w:tbl>
      <w:tblPr>
        <w:tblStyle w:val="TableGrid"/>
        <w:tblpPr w:leftFromText="180" w:rightFromText="180" w:vertAnchor="text" w:tblpY="1"/>
        <w:tblOverlap w:val="never"/>
        <w:tblW w:w="5000" w:type="pct"/>
        <w:tblLook w:val="04A0" w:firstRow="1" w:lastRow="0" w:firstColumn="1" w:lastColumn="0" w:noHBand="0" w:noVBand="1"/>
      </w:tblPr>
      <w:tblGrid>
        <w:gridCol w:w="3989"/>
        <w:gridCol w:w="1255"/>
        <w:gridCol w:w="1255"/>
        <w:gridCol w:w="1255"/>
        <w:gridCol w:w="1252"/>
      </w:tblGrid>
      <w:tr w:rsidR="00FD1A75" w:rsidRPr="00FD1A75" w14:paraId="31420426" w14:textId="77777777" w:rsidTr="00FD1A75">
        <w:tc>
          <w:tcPr>
            <w:tcW w:w="2214" w:type="pct"/>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454E53D6" w14:textId="77777777" w:rsidR="00FD1A75" w:rsidRPr="00FD1A75" w:rsidRDefault="00FD1A75" w:rsidP="00FD1A75">
            <w:pPr>
              <w:jc w:val="center"/>
              <w:rPr>
                <w:b/>
                <w:bCs/>
                <w:sz w:val="22"/>
              </w:rPr>
            </w:pP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68F31B45" w14:textId="77777777" w:rsidR="00FD1A75" w:rsidRPr="00FD1A75" w:rsidRDefault="00FD1A75" w:rsidP="00FD1A75">
            <w:pPr>
              <w:jc w:val="center"/>
              <w:rPr>
                <w:b/>
                <w:bCs/>
              </w:rPr>
            </w:pPr>
            <w:r w:rsidRPr="00FD1A75">
              <w:rPr>
                <w:b/>
                <w:bCs/>
              </w:rPr>
              <w:t>2010</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516A20CC" w14:textId="77777777" w:rsidR="00FD1A75" w:rsidRPr="00FD1A75" w:rsidRDefault="00FD1A75" w:rsidP="00FD1A75">
            <w:pPr>
              <w:jc w:val="center"/>
              <w:rPr>
                <w:b/>
                <w:bCs/>
              </w:rPr>
            </w:pPr>
            <w:r w:rsidRPr="00FD1A75">
              <w:rPr>
                <w:b/>
                <w:bCs/>
              </w:rPr>
              <w:t>2013</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6F79202D" w14:textId="77777777" w:rsidR="00FD1A75" w:rsidRPr="00FD1A75" w:rsidRDefault="00FD1A75" w:rsidP="00FD1A75">
            <w:pPr>
              <w:jc w:val="center"/>
              <w:rPr>
                <w:b/>
                <w:bCs/>
              </w:rPr>
            </w:pPr>
            <w:r w:rsidRPr="00FD1A75">
              <w:rPr>
                <w:b/>
                <w:bCs/>
              </w:rPr>
              <w:t>2016</w:t>
            </w:r>
          </w:p>
        </w:tc>
        <w:tc>
          <w:tcPr>
            <w:tcW w:w="696" w:type="pct"/>
            <w:tcBorders>
              <w:top w:val="single" w:sz="8" w:space="0" w:color="auto"/>
              <w:left w:val="nil"/>
              <w:bottom w:val="single" w:sz="8" w:space="0" w:color="auto"/>
              <w:right w:val="single" w:sz="8" w:space="0" w:color="auto"/>
            </w:tcBorders>
            <w:shd w:val="clear" w:color="auto" w:fill="8EAADB" w:themeFill="accent5" w:themeFillTint="99"/>
          </w:tcPr>
          <w:p w14:paraId="14D45809" w14:textId="77777777" w:rsidR="00FD1A75" w:rsidRPr="00FD1A75" w:rsidRDefault="00FD1A75" w:rsidP="00FD1A75">
            <w:pPr>
              <w:jc w:val="center"/>
              <w:rPr>
                <w:b/>
                <w:bCs/>
              </w:rPr>
            </w:pPr>
            <w:r w:rsidRPr="00FD1A75">
              <w:rPr>
                <w:b/>
                <w:bCs/>
              </w:rPr>
              <w:t>2019</w:t>
            </w:r>
          </w:p>
        </w:tc>
      </w:tr>
      <w:tr w:rsidR="00FD1A75" w:rsidRPr="00FD1A75" w14:paraId="71B5ADA9" w14:textId="77777777" w:rsidTr="00FD1A75">
        <w:tc>
          <w:tcPr>
            <w:tcW w:w="2214" w:type="pct"/>
            <w:tcBorders>
              <w:top w:val="nil"/>
              <w:left w:val="single" w:sz="8" w:space="0" w:color="auto"/>
              <w:bottom w:val="single" w:sz="8" w:space="0" w:color="auto"/>
              <w:right w:val="single" w:sz="8" w:space="0" w:color="auto"/>
            </w:tcBorders>
          </w:tcPr>
          <w:p w14:paraId="4CA5E618" w14:textId="77777777" w:rsidR="00FD1A75" w:rsidRPr="00FD1A75" w:rsidRDefault="00FD1A75" w:rsidP="00FD1A75">
            <w:r w:rsidRPr="00FD1A75">
              <w:t>Agree/Strongly Agree (2019)</w:t>
            </w:r>
          </w:p>
        </w:tc>
        <w:tc>
          <w:tcPr>
            <w:tcW w:w="697" w:type="pct"/>
            <w:tcBorders>
              <w:top w:val="nil"/>
              <w:left w:val="nil"/>
              <w:bottom w:val="single" w:sz="8" w:space="0" w:color="auto"/>
              <w:right w:val="single" w:sz="8" w:space="0" w:color="auto"/>
            </w:tcBorders>
          </w:tcPr>
          <w:p w14:paraId="1378FAB7" w14:textId="77777777" w:rsidR="00FD1A75" w:rsidRPr="00FD1A75" w:rsidRDefault="00FD1A75" w:rsidP="00FD1A75">
            <w:pPr>
              <w:jc w:val="center"/>
            </w:pPr>
            <w:r w:rsidRPr="00FD1A75">
              <w:t>YES: 4%</w:t>
            </w:r>
          </w:p>
        </w:tc>
        <w:tc>
          <w:tcPr>
            <w:tcW w:w="697" w:type="pct"/>
            <w:tcBorders>
              <w:top w:val="nil"/>
              <w:left w:val="nil"/>
              <w:bottom w:val="single" w:sz="8" w:space="0" w:color="auto"/>
              <w:right w:val="single" w:sz="8" w:space="0" w:color="auto"/>
            </w:tcBorders>
          </w:tcPr>
          <w:p w14:paraId="233709B6" w14:textId="77777777" w:rsidR="00FD1A75" w:rsidRPr="00FD1A75" w:rsidRDefault="00FD1A75" w:rsidP="00FD1A75">
            <w:pPr>
              <w:jc w:val="center"/>
            </w:pPr>
            <w:r w:rsidRPr="00FD1A75">
              <w:t>Yes: 5%</w:t>
            </w:r>
          </w:p>
        </w:tc>
        <w:tc>
          <w:tcPr>
            <w:tcW w:w="697" w:type="pct"/>
            <w:tcBorders>
              <w:top w:val="nil"/>
              <w:left w:val="nil"/>
              <w:bottom w:val="single" w:sz="8" w:space="0" w:color="auto"/>
              <w:right w:val="single" w:sz="8" w:space="0" w:color="auto"/>
            </w:tcBorders>
          </w:tcPr>
          <w:p w14:paraId="117C4CAF" w14:textId="77777777" w:rsidR="00FD1A75" w:rsidRPr="00FD1A75" w:rsidRDefault="00FD1A75" w:rsidP="00FD1A75">
            <w:pPr>
              <w:jc w:val="center"/>
            </w:pPr>
            <w:r w:rsidRPr="00FD1A75">
              <w:t>Yes: 4%</w:t>
            </w:r>
          </w:p>
        </w:tc>
        <w:tc>
          <w:tcPr>
            <w:tcW w:w="696" w:type="pct"/>
            <w:tcBorders>
              <w:top w:val="nil"/>
              <w:left w:val="nil"/>
              <w:bottom w:val="single" w:sz="8" w:space="0" w:color="auto"/>
              <w:right w:val="single" w:sz="8" w:space="0" w:color="auto"/>
            </w:tcBorders>
            <w:shd w:val="clear" w:color="auto" w:fill="auto"/>
          </w:tcPr>
          <w:p w14:paraId="68968693" w14:textId="77777777" w:rsidR="00FD1A75" w:rsidRPr="00FD1A75" w:rsidRDefault="00FD1A75" w:rsidP="00FD1A75">
            <w:pPr>
              <w:jc w:val="center"/>
            </w:pPr>
            <w:r w:rsidRPr="00FD1A75">
              <w:t>16%</w:t>
            </w:r>
          </w:p>
        </w:tc>
      </w:tr>
    </w:tbl>
    <w:p w14:paraId="61D41AB0" w14:textId="77777777" w:rsidR="00FD1A75" w:rsidRPr="00FD1A75" w:rsidRDefault="00FD1A75" w:rsidP="00FD1A75">
      <w:pPr>
        <w:keepNext/>
        <w:keepLines/>
        <w:spacing w:before="120" w:after="120"/>
        <w:outlineLvl w:val="2"/>
        <w:rPr>
          <w:rFonts w:asciiTheme="majorHAnsi" w:eastAsiaTheme="majorEastAsia" w:hAnsiTheme="majorHAnsi" w:cstheme="majorBidi"/>
          <w:szCs w:val="24"/>
          <w:u w:val="single"/>
        </w:rPr>
      </w:pPr>
      <w:bookmarkStart w:id="110" w:name="_Toc55202796"/>
      <w:bookmarkStart w:id="111" w:name="_Toc55219268"/>
      <w:bookmarkStart w:id="112" w:name="_Toc55241663"/>
      <w:bookmarkStart w:id="113" w:name="_Toc55573544"/>
      <w:bookmarkStart w:id="114" w:name="_Toc57023242"/>
      <w:bookmarkStart w:id="115" w:name="_Toc63432757"/>
      <w:r w:rsidRPr="00FD1A75">
        <w:rPr>
          <w:rFonts w:asciiTheme="majorHAnsi" w:eastAsiaTheme="majorEastAsia" w:hAnsiTheme="majorHAnsi" w:cstheme="majorBidi"/>
          <w:szCs w:val="24"/>
          <w:u w:val="single"/>
        </w:rPr>
        <w:t>Q) I would feel confident to report bullying/harassment if it happened to me</w:t>
      </w:r>
      <w:bookmarkEnd w:id="110"/>
      <w:bookmarkEnd w:id="111"/>
      <w:bookmarkEnd w:id="112"/>
      <w:bookmarkEnd w:id="113"/>
      <w:bookmarkEnd w:id="114"/>
      <w:bookmarkEnd w:id="115"/>
    </w:p>
    <w:p w14:paraId="2110BA2A" w14:textId="77777777" w:rsidR="00FD1A75" w:rsidRPr="00FD1A75" w:rsidRDefault="00FD1A75" w:rsidP="00FD1A75">
      <w:r w:rsidRPr="00FD1A75">
        <w:t>Previous question: Have you reported Bullying (only responses to those that said they had been bullied)</w:t>
      </w:r>
    </w:p>
    <w:tbl>
      <w:tblPr>
        <w:tblStyle w:val="TableGrid"/>
        <w:tblpPr w:leftFromText="180" w:rightFromText="180" w:vertAnchor="text" w:tblpY="1"/>
        <w:tblOverlap w:val="never"/>
        <w:tblW w:w="5000" w:type="pct"/>
        <w:tblLook w:val="04A0" w:firstRow="1" w:lastRow="0" w:firstColumn="1" w:lastColumn="0" w:noHBand="0" w:noVBand="1"/>
      </w:tblPr>
      <w:tblGrid>
        <w:gridCol w:w="3989"/>
        <w:gridCol w:w="1255"/>
        <w:gridCol w:w="1255"/>
        <w:gridCol w:w="1255"/>
        <w:gridCol w:w="1252"/>
      </w:tblGrid>
      <w:tr w:rsidR="00FD1A75" w:rsidRPr="00FD1A75" w14:paraId="13F89C57" w14:textId="77777777" w:rsidTr="00FD1A75">
        <w:tc>
          <w:tcPr>
            <w:tcW w:w="2214" w:type="pct"/>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19C2AA23" w14:textId="77777777" w:rsidR="00FD1A75" w:rsidRPr="00FD1A75" w:rsidRDefault="00FD1A75" w:rsidP="00FD1A75">
            <w:pPr>
              <w:jc w:val="center"/>
              <w:rPr>
                <w:b/>
                <w:bCs/>
                <w:sz w:val="22"/>
              </w:rPr>
            </w:pP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5C05C220" w14:textId="77777777" w:rsidR="00FD1A75" w:rsidRPr="00FD1A75" w:rsidRDefault="00FD1A75" w:rsidP="00FD1A75">
            <w:pPr>
              <w:jc w:val="center"/>
              <w:rPr>
                <w:b/>
                <w:bCs/>
              </w:rPr>
            </w:pPr>
            <w:r w:rsidRPr="00FD1A75">
              <w:rPr>
                <w:b/>
                <w:bCs/>
              </w:rPr>
              <w:t>2010</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63F5356B" w14:textId="77777777" w:rsidR="00FD1A75" w:rsidRPr="00FD1A75" w:rsidRDefault="00FD1A75" w:rsidP="00FD1A75">
            <w:pPr>
              <w:jc w:val="center"/>
              <w:rPr>
                <w:b/>
                <w:bCs/>
              </w:rPr>
            </w:pPr>
            <w:r w:rsidRPr="00FD1A75">
              <w:rPr>
                <w:b/>
                <w:bCs/>
              </w:rPr>
              <w:t>2013</w:t>
            </w:r>
          </w:p>
        </w:tc>
        <w:tc>
          <w:tcPr>
            <w:tcW w:w="697" w:type="pct"/>
            <w:tcBorders>
              <w:top w:val="single" w:sz="8" w:space="0" w:color="auto"/>
              <w:left w:val="nil"/>
              <w:bottom w:val="single" w:sz="8" w:space="0" w:color="auto"/>
              <w:right w:val="single" w:sz="8" w:space="0" w:color="auto"/>
            </w:tcBorders>
            <w:shd w:val="clear" w:color="auto" w:fill="8EAADB" w:themeFill="accent5" w:themeFillTint="99"/>
          </w:tcPr>
          <w:p w14:paraId="510F2402" w14:textId="77777777" w:rsidR="00FD1A75" w:rsidRPr="00FD1A75" w:rsidRDefault="00FD1A75" w:rsidP="00FD1A75">
            <w:pPr>
              <w:jc w:val="center"/>
              <w:rPr>
                <w:b/>
                <w:bCs/>
              </w:rPr>
            </w:pPr>
            <w:r w:rsidRPr="00FD1A75">
              <w:rPr>
                <w:b/>
                <w:bCs/>
              </w:rPr>
              <w:t>2016</w:t>
            </w:r>
          </w:p>
        </w:tc>
        <w:tc>
          <w:tcPr>
            <w:tcW w:w="696" w:type="pct"/>
            <w:tcBorders>
              <w:top w:val="single" w:sz="8" w:space="0" w:color="auto"/>
              <w:left w:val="nil"/>
              <w:bottom w:val="single" w:sz="8" w:space="0" w:color="auto"/>
              <w:right w:val="single" w:sz="8" w:space="0" w:color="auto"/>
            </w:tcBorders>
            <w:shd w:val="clear" w:color="auto" w:fill="8EAADB" w:themeFill="accent5" w:themeFillTint="99"/>
          </w:tcPr>
          <w:p w14:paraId="4CE54E45" w14:textId="77777777" w:rsidR="00FD1A75" w:rsidRPr="00FD1A75" w:rsidRDefault="00FD1A75" w:rsidP="00FD1A75">
            <w:pPr>
              <w:jc w:val="center"/>
              <w:rPr>
                <w:b/>
                <w:bCs/>
              </w:rPr>
            </w:pPr>
            <w:r w:rsidRPr="00FD1A75">
              <w:rPr>
                <w:b/>
                <w:bCs/>
              </w:rPr>
              <w:t>2019</w:t>
            </w:r>
          </w:p>
        </w:tc>
      </w:tr>
      <w:tr w:rsidR="00FD1A75" w:rsidRPr="00FD1A75" w14:paraId="046B6115" w14:textId="77777777" w:rsidTr="00FD1A75">
        <w:tc>
          <w:tcPr>
            <w:tcW w:w="2214" w:type="pct"/>
            <w:tcBorders>
              <w:top w:val="nil"/>
              <w:left w:val="single" w:sz="8" w:space="0" w:color="auto"/>
              <w:bottom w:val="single" w:sz="8" w:space="0" w:color="auto"/>
              <w:right w:val="single" w:sz="8" w:space="0" w:color="auto"/>
            </w:tcBorders>
          </w:tcPr>
          <w:p w14:paraId="43925EF7" w14:textId="77777777" w:rsidR="00FD1A75" w:rsidRPr="00FD1A75" w:rsidRDefault="00FD1A75" w:rsidP="00FD1A75">
            <w:r w:rsidRPr="00FD1A75">
              <w:t>Disagree/Strongly Disagree (2019)</w:t>
            </w:r>
          </w:p>
        </w:tc>
        <w:tc>
          <w:tcPr>
            <w:tcW w:w="697" w:type="pct"/>
            <w:tcBorders>
              <w:top w:val="nil"/>
              <w:left w:val="nil"/>
              <w:bottom w:val="single" w:sz="8" w:space="0" w:color="auto"/>
              <w:right w:val="single" w:sz="8" w:space="0" w:color="auto"/>
            </w:tcBorders>
          </w:tcPr>
          <w:p w14:paraId="61520DC2" w14:textId="77777777" w:rsidR="00FD1A75" w:rsidRPr="00FD1A75" w:rsidRDefault="00FD1A75" w:rsidP="00FD1A75">
            <w:pPr>
              <w:jc w:val="center"/>
            </w:pPr>
            <w:r w:rsidRPr="00FD1A75">
              <w:t>NO: 58%</w:t>
            </w:r>
          </w:p>
        </w:tc>
        <w:tc>
          <w:tcPr>
            <w:tcW w:w="697" w:type="pct"/>
            <w:tcBorders>
              <w:top w:val="nil"/>
              <w:left w:val="nil"/>
              <w:bottom w:val="single" w:sz="8" w:space="0" w:color="auto"/>
              <w:right w:val="single" w:sz="8" w:space="0" w:color="auto"/>
            </w:tcBorders>
          </w:tcPr>
          <w:p w14:paraId="23E6B820" w14:textId="77777777" w:rsidR="00FD1A75" w:rsidRPr="00FD1A75" w:rsidRDefault="00FD1A75" w:rsidP="00FD1A75">
            <w:pPr>
              <w:jc w:val="center"/>
            </w:pPr>
            <w:r w:rsidRPr="00FD1A75">
              <w:t>NO: 54%</w:t>
            </w:r>
          </w:p>
        </w:tc>
        <w:tc>
          <w:tcPr>
            <w:tcW w:w="697" w:type="pct"/>
            <w:tcBorders>
              <w:top w:val="nil"/>
              <w:left w:val="nil"/>
              <w:bottom w:val="single" w:sz="8" w:space="0" w:color="auto"/>
              <w:right w:val="single" w:sz="8" w:space="0" w:color="auto"/>
            </w:tcBorders>
          </w:tcPr>
          <w:p w14:paraId="653265A3" w14:textId="77777777" w:rsidR="00FD1A75" w:rsidRPr="00FD1A75" w:rsidRDefault="00FD1A75" w:rsidP="00FD1A75">
            <w:pPr>
              <w:jc w:val="center"/>
            </w:pPr>
            <w:r w:rsidRPr="00FD1A75">
              <w:t>NO: 47%</w:t>
            </w:r>
          </w:p>
        </w:tc>
        <w:tc>
          <w:tcPr>
            <w:tcW w:w="696" w:type="pct"/>
            <w:tcBorders>
              <w:top w:val="nil"/>
              <w:left w:val="nil"/>
              <w:bottom w:val="single" w:sz="8" w:space="0" w:color="auto"/>
              <w:right w:val="single" w:sz="8" w:space="0" w:color="auto"/>
            </w:tcBorders>
            <w:shd w:val="clear" w:color="auto" w:fill="auto"/>
          </w:tcPr>
          <w:p w14:paraId="5971F907" w14:textId="77777777" w:rsidR="00FD1A75" w:rsidRPr="00FD1A75" w:rsidRDefault="00FD1A75" w:rsidP="00FD1A75">
            <w:pPr>
              <w:jc w:val="center"/>
            </w:pPr>
            <w:r w:rsidRPr="00FD1A75">
              <w:t>22%</w:t>
            </w:r>
          </w:p>
        </w:tc>
      </w:tr>
    </w:tbl>
    <w:p w14:paraId="26780672" w14:textId="77777777" w:rsidR="00FD1A75" w:rsidRPr="00FD1A75" w:rsidRDefault="00FD1A75" w:rsidP="00FD1A75"/>
    <w:p w14:paraId="32BE47C0" w14:textId="77777777" w:rsidR="00FD1A75" w:rsidRPr="00FD1A75" w:rsidRDefault="00FD1A75" w:rsidP="00FD1A75">
      <w:pPr>
        <w:rPr>
          <w:rFonts w:asciiTheme="majorHAnsi" w:eastAsiaTheme="majorEastAsia" w:hAnsiTheme="majorHAnsi" w:cstheme="majorBidi"/>
          <w:spacing w:val="-10"/>
          <w:kern w:val="28"/>
          <w:sz w:val="56"/>
          <w:szCs w:val="56"/>
        </w:rPr>
      </w:pPr>
      <w:r w:rsidRPr="00FD1A75">
        <w:br w:type="page"/>
      </w:r>
    </w:p>
    <w:p w14:paraId="48D3639F" w14:textId="77777777" w:rsidR="00FD1A75" w:rsidRDefault="00FD1A75" w:rsidP="00467BC2">
      <w:pPr>
        <w:pStyle w:val="Heading1"/>
        <w:numPr>
          <w:ilvl w:val="0"/>
          <w:numId w:val="4"/>
        </w:numPr>
      </w:pPr>
      <w:bookmarkStart w:id="116" w:name="_Toc63432758"/>
      <w:r w:rsidRPr="00FD1A75">
        <w:lastRenderedPageBreak/>
        <w:t>Student Key Performance Indicators</w:t>
      </w:r>
      <w:bookmarkEnd w:id="116"/>
    </w:p>
    <w:p w14:paraId="00D57662" w14:textId="589AE015" w:rsidR="00601782" w:rsidRPr="00601782" w:rsidRDefault="00601782" w:rsidP="00601782">
      <w:pPr>
        <w:rPr>
          <w:i/>
        </w:rPr>
      </w:pPr>
      <w:r w:rsidRPr="00601782">
        <w:rPr>
          <w:i/>
        </w:rPr>
        <w:t>Data reported below relates to the following student equality objectives:</w:t>
      </w:r>
    </w:p>
    <w:p w14:paraId="73BBA5D3" w14:textId="1873721D" w:rsidR="00601782" w:rsidRPr="00601782" w:rsidRDefault="00601782" w:rsidP="00601782">
      <w:pPr>
        <w:pStyle w:val="ListParagraph"/>
        <w:numPr>
          <w:ilvl w:val="0"/>
          <w:numId w:val="25"/>
        </w:numPr>
        <w:rPr>
          <w:i/>
        </w:rPr>
      </w:pPr>
      <w:r w:rsidRPr="00601782">
        <w:rPr>
          <w:i/>
        </w:rPr>
        <w:t>Make significant and sustained improvements in the participation rates for the most disadvantaged and underrepresented groups, and in the diversity of the student population.</w:t>
      </w:r>
    </w:p>
    <w:p w14:paraId="3AFB9A03" w14:textId="6FC2AC99" w:rsidR="00601782" w:rsidRPr="00601782" w:rsidRDefault="00601782" w:rsidP="00601782">
      <w:pPr>
        <w:pStyle w:val="ListParagraph"/>
        <w:numPr>
          <w:ilvl w:val="0"/>
          <w:numId w:val="25"/>
        </w:numPr>
        <w:rPr>
          <w:i/>
        </w:rPr>
      </w:pPr>
      <w:r w:rsidRPr="00601782">
        <w:rPr>
          <w:i/>
        </w:rPr>
        <w:t>Improve degree attainment outcomes and reduce any unexplained degree gap differentials for different student groups.</w:t>
      </w:r>
    </w:p>
    <w:p w14:paraId="70A1A08D" w14:textId="77777777" w:rsidR="00FD1A75" w:rsidRDefault="00FD1A75" w:rsidP="00467BC2">
      <w:pPr>
        <w:pStyle w:val="Heading2"/>
        <w:numPr>
          <w:ilvl w:val="1"/>
          <w:numId w:val="4"/>
        </w:numPr>
      </w:pPr>
      <w:bookmarkStart w:id="117" w:name="_Toc55202798"/>
      <w:bookmarkStart w:id="118" w:name="_Toc55219270"/>
      <w:bookmarkStart w:id="119" w:name="_Toc55573546"/>
      <w:bookmarkStart w:id="120" w:name="_Toc57023244"/>
      <w:bookmarkStart w:id="121" w:name="_Toc63432759"/>
      <w:r w:rsidRPr="00FD1A75">
        <w:t>Student Recruitment: UK domiciled first degree entrants only.</w:t>
      </w:r>
      <w:bookmarkEnd w:id="117"/>
      <w:bookmarkEnd w:id="118"/>
      <w:bookmarkEnd w:id="119"/>
      <w:bookmarkEnd w:id="120"/>
      <w:bookmarkEnd w:id="121"/>
    </w:p>
    <w:p w14:paraId="0399409B" w14:textId="77777777" w:rsidR="00FD1A75" w:rsidRPr="00FD1A75" w:rsidRDefault="00FD1A75" w:rsidP="00467BC2">
      <w:pPr>
        <w:pStyle w:val="Heading3"/>
        <w:numPr>
          <w:ilvl w:val="2"/>
          <w:numId w:val="4"/>
        </w:numPr>
      </w:pPr>
      <w:bookmarkStart w:id="122" w:name="_Toc55202799"/>
      <w:bookmarkStart w:id="123" w:name="_Toc55219271"/>
      <w:bookmarkStart w:id="124" w:name="_Toc55241666"/>
      <w:bookmarkStart w:id="125" w:name="_Toc55573547"/>
      <w:bookmarkStart w:id="126" w:name="_Toc57023245"/>
      <w:bookmarkStart w:id="127" w:name="_Toc63432760"/>
      <w:r w:rsidRPr="00FD1A75">
        <w:t># Applications received</w:t>
      </w:r>
      <w:bookmarkEnd w:id="122"/>
      <w:bookmarkEnd w:id="123"/>
      <w:bookmarkEnd w:id="124"/>
      <w:bookmarkEnd w:id="125"/>
      <w:bookmarkEnd w:id="126"/>
      <w:bookmarkEnd w:id="127"/>
    </w:p>
    <w:tbl>
      <w:tblPr>
        <w:tblStyle w:val="TableGrid"/>
        <w:tblW w:w="5000" w:type="pct"/>
        <w:tblLook w:val="04A0" w:firstRow="1" w:lastRow="0" w:firstColumn="1" w:lastColumn="0" w:noHBand="0" w:noVBand="1"/>
      </w:tblPr>
      <w:tblGrid>
        <w:gridCol w:w="3846"/>
        <w:gridCol w:w="2225"/>
        <w:gridCol w:w="2294"/>
        <w:gridCol w:w="651"/>
      </w:tblGrid>
      <w:tr w:rsidR="00FD1A75" w:rsidRPr="00FD1A75" w14:paraId="46FAC9F0" w14:textId="77777777" w:rsidTr="00FD1A75">
        <w:tc>
          <w:tcPr>
            <w:tcW w:w="2133" w:type="pct"/>
            <w:shd w:val="clear" w:color="auto" w:fill="92D050"/>
          </w:tcPr>
          <w:p w14:paraId="295025B2" w14:textId="77777777" w:rsidR="00FD1A75" w:rsidRPr="00FD1A75" w:rsidRDefault="00FD1A75" w:rsidP="00FD1A75">
            <w:pPr>
              <w:rPr>
                <w:b/>
              </w:rPr>
            </w:pPr>
          </w:p>
        </w:tc>
        <w:tc>
          <w:tcPr>
            <w:tcW w:w="1234" w:type="pct"/>
            <w:shd w:val="clear" w:color="auto" w:fill="92D050"/>
          </w:tcPr>
          <w:p w14:paraId="02C2D7AA" w14:textId="77777777" w:rsidR="00FD1A75" w:rsidRPr="00FD1A75" w:rsidRDefault="00FD1A75" w:rsidP="00FD1A75">
            <w:pPr>
              <w:jc w:val="center"/>
              <w:rPr>
                <w:b/>
              </w:rPr>
            </w:pPr>
            <w:r w:rsidRPr="00FD1A75">
              <w:rPr>
                <w:b/>
              </w:rPr>
              <w:t>2018/19</w:t>
            </w:r>
          </w:p>
        </w:tc>
        <w:tc>
          <w:tcPr>
            <w:tcW w:w="1272" w:type="pct"/>
            <w:shd w:val="clear" w:color="auto" w:fill="92D050"/>
          </w:tcPr>
          <w:p w14:paraId="07D83881" w14:textId="77777777" w:rsidR="00FD1A75" w:rsidRPr="00FD1A75" w:rsidRDefault="00FD1A75" w:rsidP="00FD1A75">
            <w:pPr>
              <w:jc w:val="center"/>
              <w:rPr>
                <w:b/>
              </w:rPr>
            </w:pPr>
            <w:r w:rsidRPr="00FD1A75">
              <w:rPr>
                <w:b/>
              </w:rPr>
              <w:t>2019/20</w:t>
            </w:r>
          </w:p>
        </w:tc>
        <w:tc>
          <w:tcPr>
            <w:tcW w:w="361" w:type="pct"/>
            <w:shd w:val="clear" w:color="auto" w:fill="92D050"/>
          </w:tcPr>
          <w:p w14:paraId="0CFC52A2" w14:textId="77777777" w:rsidR="00FD1A75" w:rsidRPr="00066C43" w:rsidRDefault="00FD1A75" w:rsidP="00FD1A75">
            <w:pPr>
              <w:jc w:val="center"/>
            </w:pPr>
          </w:p>
        </w:tc>
      </w:tr>
      <w:tr w:rsidR="00FD1A75" w:rsidRPr="00FD1A75" w14:paraId="5E1BC26A" w14:textId="77777777" w:rsidTr="00FD1A75">
        <w:tc>
          <w:tcPr>
            <w:tcW w:w="2133" w:type="pct"/>
            <w:shd w:val="clear" w:color="000000" w:fill="FFFFFF"/>
            <w:vAlign w:val="center"/>
          </w:tcPr>
          <w:p w14:paraId="1E21D682"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Asian</w:t>
            </w:r>
          </w:p>
        </w:tc>
        <w:tc>
          <w:tcPr>
            <w:tcW w:w="1234" w:type="pct"/>
          </w:tcPr>
          <w:p w14:paraId="132EEF67" w14:textId="77777777" w:rsidR="00FD1A75" w:rsidRPr="00FD1A75" w:rsidRDefault="00FD1A75" w:rsidP="00FD1A75">
            <w:pPr>
              <w:jc w:val="center"/>
            </w:pPr>
            <w:r w:rsidRPr="00FD1A75">
              <w:t>3899</w:t>
            </w:r>
          </w:p>
        </w:tc>
        <w:tc>
          <w:tcPr>
            <w:tcW w:w="1272" w:type="pct"/>
          </w:tcPr>
          <w:p w14:paraId="0AA30269" w14:textId="77777777" w:rsidR="00FD1A75" w:rsidRPr="00FD1A75" w:rsidRDefault="00FD1A75" w:rsidP="00FD1A75">
            <w:pPr>
              <w:jc w:val="center"/>
            </w:pPr>
            <w:r w:rsidRPr="00FD1A75">
              <w:t>4184</w:t>
            </w:r>
          </w:p>
        </w:tc>
        <w:tc>
          <w:tcPr>
            <w:tcW w:w="361" w:type="pct"/>
          </w:tcPr>
          <w:p w14:paraId="2AA02E44" w14:textId="77777777" w:rsidR="00FD1A75" w:rsidRPr="00066C43" w:rsidRDefault="00FD1A75" w:rsidP="00FD1A75">
            <w:pPr>
              <w:jc w:val="center"/>
              <w:rPr>
                <w:i/>
              </w:rPr>
            </w:pPr>
            <w:r w:rsidRPr="00066C43">
              <w:rPr>
                <w:rFonts w:cstheme="minorHAnsi"/>
                <w:i/>
              </w:rPr>
              <w:t>↑</w:t>
            </w:r>
          </w:p>
        </w:tc>
      </w:tr>
      <w:tr w:rsidR="00FD1A75" w:rsidRPr="00FD1A75" w14:paraId="19E9D25A" w14:textId="77777777" w:rsidTr="00FD1A75">
        <w:tc>
          <w:tcPr>
            <w:tcW w:w="2133" w:type="pct"/>
            <w:shd w:val="clear" w:color="000000" w:fill="FFFFFF"/>
            <w:vAlign w:val="center"/>
          </w:tcPr>
          <w:p w14:paraId="69FE42EF"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Black</w:t>
            </w:r>
          </w:p>
        </w:tc>
        <w:tc>
          <w:tcPr>
            <w:tcW w:w="1234" w:type="pct"/>
          </w:tcPr>
          <w:p w14:paraId="5A5AB047" w14:textId="77777777" w:rsidR="00FD1A75" w:rsidRPr="00FD1A75" w:rsidRDefault="00FD1A75" w:rsidP="00FD1A75">
            <w:pPr>
              <w:jc w:val="center"/>
            </w:pPr>
            <w:r w:rsidRPr="00FD1A75">
              <w:t>1274</w:t>
            </w:r>
          </w:p>
        </w:tc>
        <w:tc>
          <w:tcPr>
            <w:tcW w:w="1272" w:type="pct"/>
          </w:tcPr>
          <w:p w14:paraId="64296B62" w14:textId="77777777" w:rsidR="00FD1A75" w:rsidRPr="00FD1A75" w:rsidRDefault="00FD1A75" w:rsidP="00FD1A75">
            <w:pPr>
              <w:jc w:val="center"/>
            </w:pPr>
            <w:r w:rsidRPr="00FD1A75">
              <w:t>1406</w:t>
            </w:r>
          </w:p>
        </w:tc>
        <w:tc>
          <w:tcPr>
            <w:tcW w:w="361" w:type="pct"/>
          </w:tcPr>
          <w:p w14:paraId="24097568" w14:textId="77777777" w:rsidR="00FD1A75" w:rsidRPr="00066C43" w:rsidRDefault="00FD1A75" w:rsidP="00FD1A75">
            <w:pPr>
              <w:jc w:val="center"/>
              <w:rPr>
                <w:i/>
              </w:rPr>
            </w:pPr>
            <w:r w:rsidRPr="00066C43">
              <w:rPr>
                <w:i/>
              </w:rPr>
              <w:t>↑</w:t>
            </w:r>
          </w:p>
        </w:tc>
      </w:tr>
      <w:tr w:rsidR="00FD1A75" w:rsidRPr="00FD1A75" w14:paraId="5154E600" w14:textId="77777777" w:rsidTr="00FD1A75">
        <w:tc>
          <w:tcPr>
            <w:tcW w:w="2133" w:type="pct"/>
            <w:shd w:val="clear" w:color="000000" w:fill="FFFFFF"/>
            <w:vAlign w:val="center"/>
          </w:tcPr>
          <w:p w14:paraId="3A3789AF"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Mixed</w:t>
            </w:r>
          </w:p>
        </w:tc>
        <w:tc>
          <w:tcPr>
            <w:tcW w:w="1234" w:type="pct"/>
          </w:tcPr>
          <w:p w14:paraId="7FA9C0E2" w14:textId="77777777" w:rsidR="00FD1A75" w:rsidRPr="00FD1A75" w:rsidRDefault="00FD1A75" w:rsidP="00FD1A75">
            <w:pPr>
              <w:jc w:val="center"/>
            </w:pPr>
            <w:r w:rsidRPr="00FD1A75">
              <w:t>1458</w:t>
            </w:r>
          </w:p>
        </w:tc>
        <w:tc>
          <w:tcPr>
            <w:tcW w:w="1272" w:type="pct"/>
          </w:tcPr>
          <w:p w14:paraId="2E5994CA" w14:textId="77777777" w:rsidR="00FD1A75" w:rsidRPr="00FD1A75" w:rsidRDefault="00FD1A75" w:rsidP="00FD1A75">
            <w:pPr>
              <w:jc w:val="center"/>
            </w:pPr>
            <w:r w:rsidRPr="00FD1A75">
              <w:t>1721</w:t>
            </w:r>
          </w:p>
        </w:tc>
        <w:tc>
          <w:tcPr>
            <w:tcW w:w="361" w:type="pct"/>
          </w:tcPr>
          <w:p w14:paraId="3DADD86F" w14:textId="77777777" w:rsidR="00FD1A75" w:rsidRPr="00066C43" w:rsidRDefault="00FD1A75" w:rsidP="00FD1A75">
            <w:pPr>
              <w:jc w:val="center"/>
              <w:rPr>
                <w:i/>
              </w:rPr>
            </w:pPr>
            <w:r w:rsidRPr="00066C43">
              <w:rPr>
                <w:i/>
              </w:rPr>
              <w:t>↑</w:t>
            </w:r>
          </w:p>
        </w:tc>
      </w:tr>
      <w:tr w:rsidR="00FD1A75" w:rsidRPr="00FD1A75" w14:paraId="37605271" w14:textId="77777777" w:rsidTr="00FD1A75">
        <w:tc>
          <w:tcPr>
            <w:tcW w:w="2133" w:type="pct"/>
            <w:shd w:val="clear" w:color="000000" w:fill="FFFFFF"/>
            <w:vAlign w:val="center"/>
          </w:tcPr>
          <w:p w14:paraId="4108795F"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Other</w:t>
            </w:r>
          </w:p>
        </w:tc>
        <w:tc>
          <w:tcPr>
            <w:tcW w:w="1234" w:type="pct"/>
          </w:tcPr>
          <w:p w14:paraId="7D251683" w14:textId="77777777" w:rsidR="00FD1A75" w:rsidRPr="00FD1A75" w:rsidRDefault="00FD1A75" w:rsidP="00FD1A75">
            <w:pPr>
              <w:jc w:val="center"/>
            </w:pPr>
            <w:r w:rsidRPr="00FD1A75">
              <w:t>542</w:t>
            </w:r>
          </w:p>
        </w:tc>
        <w:tc>
          <w:tcPr>
            <w:tcW w:w="1272" w:type="pct"/>
          </w:tcPr>
          <w:p w14:paraId="12DD9A1A" w14:textId="77777777" w:rsidR="00FD1A75" w:rsidRPr="00FD1A75" w:rsidRDefault="00FD1A75" w:rsidP="00FD1A75">
            <w:pPr>
              <w:jc w:val="center"/>
            </w:pPr>
            <w:r w:rsidRPr="00FD1A75">
              <w:t>589</w:t>
            </w:r>
          </w:p>
        </w:tc>
        <w:tc>
          <w:tcPr>
            <w:tcW w:w="361" w:type="pct"/>
          </w:tcPr>
          <w:p w14:paraId="5A6D8A52" w14:textId="77777777" w:rsidR="00FD1A75" w:rsidRPr="00066C43" w:rsidRDefault="00FD1A75" w:rsidP="00FD1A75">
            <w:pPr>
              <w:jc w:val="center"/>
              <w:rPr>
                <w:i/>
              </w:rPr>
            </w:pPr>
            <w:r w:rsidRPr="00066C43">
              <w:rPr>
                <w:i/>
              </w:rPr>
              <w:t>↑</w:t>
            </w:r>
          </w:p>
        </w:tc>
      </w:tr>
      <w:tr w:rsidR="00FD1A75" w:rsidRPr="00FD1A75" w14:paraId="655B580E" w14:textId="77777777" w:rsidTr="00FD1A75">
        <w:tc>
          <w:tcPr>
            <w:tcW w:w="2133" w:type="pct"/>
            <w:tcBorders>
              <w:bottom w:val="single" w:sz="12" w:space="0" w:color="auto"/>
            </w:tcBorders>
            <w:shd w:val="clear" w:color="000000" w:fill="FFFFFF"/>
            <w:vAlign w:val="center"/>
          </w:tcPr>
          <w:p w14:paraId="05478D0D"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White</w:t>
            </w:r>
          </w:p>
        </w:tc>
        <w:tc>
          <w:tcPr>
            <w:tcW w:w="1234" w:type="pct"/>
            <w:tcBorders>
              <w:bottom w:val="single" w:sz="12" w:space="0" w:color="auto"/>
            </w:tcBorders>
          </w:tcPr>
          <w:p w14:paraId="24FAD097" w14:textId="77777777" w:rsidR="00FD1A75" w:rsidRPr="00FD1A75" w:rsidRDefault="00FD1A75" w:rsidP="00FD1A75">
            <w:pPr>
              <w:jc w:val="center"/>
            </w:pPr>
            <w:r w:rsidRPr="00FD1A75">
              <w:t>25076</w:t>
            </w:r>
          </w:p>
        </w:tc>
        <w:tc>
          <w:tcPr>
            <w:tcW w:w="1272" w:type="pct"/>
            <w:tcBorders>
              <w:bottom w:val="single" w:sz="12" w:space="0" w:color="auto"/>
            </w:tcBorders>
          </w:tcPr>
          <w:p w14:paraId="4520F26B" w14:textId="77777777" w:rsidR="00FD1A75" w:rsidRPr="00FD1A75" w:rsidRDefault="00FD1A75" w:rsidP="00FD1A75">
            <w:pPr>
              <w:jc w:val="center"/>
            </w:pPr>
            <w:r w:rsidRPr="00FD1A75">
              <w:t>25954</w:t>
            </w:r>
          </w:p>
        </w:tc>
        <w:tc>
          <w:tcPr>
            <w:tcW w:w="361" w:type="pct"/>
            <w:tcBorders>
              <w:bottom w:val="single" w:sz="12" w:space="0" w:color="auto"/>
            </w:tcBorders>
          </w:tcPr>
          <w:p w14:paraId="1C00CA3D" w14:textId="77777777" w:rsidR="00FD1A75" w:rsidRPr="00066C43" w:rsidRDefault="00FD1A75" w:rsidP="00FD1A75">
            <w:pPr>
              <w:jc w:val="center"/>
              <w:rPr>
                <w:i/>
              </w:rPr>
            </w:pPr>
            <w:r w:rsidRPr="00066C43">
              <w:rPr>
                <w:i/>
              </w:rPr>
              <w:t>↑</w:t>
            </w:r>
          </w:p>
        </w:tc>
      </w:tr>
      <w:tr w:rsidR="00FD1A75" w:rsidRPr="00FD1A75" w14:paraId="01628AF7" w14:textId="77777777" w:rsidTr="00FD1A75">
        <w:tc>
          <w:tcPr>
            <w:tcW w:w="2133" w:type="pct"/>
            <w:tcBorders>
              <w:top w:val="single" w:sz="12" w:space="0" w:color="auto"/>
            </w:tcBorders>
          </w:tcPr>
          <w:p w14:paraId="7C4DFF61" w14:textId="77777777" w:rsidR="00FD1A75" w:rsidRPr="00FD1A75" w:rsidRDefault="00FD1A75" w:rsidP="00FD1A75">
            <w:r w:rsidRPr="00FD1A75">
              <w:t>Female</w:t>
            </w:r>
          </w:p>
        </w:tc>
        <w:tc>
          <w:tcPr>
            <w:tcW w:w="1234" w:type="pct"/>
            <w:tcBorders>
              <w:top w:val="single" w:sz="12" w:space="0" w:color="auto"/>
            </w:tcBorders>
          </w:tcPr>
          <w:p w14:paraId="574B1476" w14:textId="77777777" w:rsidR="00FD1A75" w:rsidRPr="00FD1A75" w:rsidRDefault="00FD1A75" w:rsidP="00FD1A75">
            <w:pPr>
              <w:jc w:val="center"/>
            </w:pPr>
            <w:r w:rsidRPr="00FD1A75">
              <w:t>22575</w:t>
            </w:r>
          </w:p>
        </w:tc>
        <w:tc>
          <w:tcPr>
            <w:tcW w:w="1272" w:type="pct"/>
            <w:tcBorders>
              <w:top w:val="single" w:sz="12" w:space="0" w:color="auto"/>
            </w:tcBorders>
          </w:tcPr>
          <w:p w14:paraId="765CE62E" w14:textId="77777777" w:rsidR="00FD1A75" w:rsidRPr="00FD1A75" w:rsidRDefault="00FD1A75" w:rsidP="00FD1A75">
            <w:pPr>
              <w:jc w:val="center"/>
            </w:pPr>
            <w:r w:rsidRPr="00FD1A75">
              <w:t>23206</w:t>
            </w:r>
          </w:p>
        </w:tc>
        <w:tc>
          <w:tcPr>
            <w:tcW w:w="361" w:type="pct"/>
            <w:tcBorders>
              <w:top w:val="single" w:sz="12" w:space="0" w:color="auto"/>
            </w:tcBorders>
          </w:tcPr>
          <w:p w14:paraId="64F76174" w14:textId="77777777" w:rsidR="00FD1A75" w:rsidRPr="00066C43" w:rsidRDefault="00FD1A75" w:rsidP="00FD1A75">
            <w:pPr>
              <w:jc w:val="center"/>
              <w:rPr>
                <w:i/>
              </w:rPr>
            </w:pPr>
            <w:r w:rsidRPr="00066C43">
              <w:rPr>
                <w:i/>
              </w:rPr>
              <w:t>↑</w:t>
            </w:r>
          </w:p>
        </w:tc>
      </w:tr>
      <w:tr w:rsidR="00FD1A75" w:rsidRPr="00FD1A75" w14:paraId="33EC4C32" w14:textId="77777777" w:rsidTr="00FD1A75">
        <w:tc>
          <w:tcPr>
            <w:tcW w:w="2133" w:type="pct"/>
          </w:tcPr>
          <w:p w14:paraId="3C79E7D1" w14:textId="77777777" w:rsidR="00FD1A75" w:rsidRPr="00FD1A75" w:rsidRDefault="00FD1A75" w:rsidP="00FD1A75">
            <w:r w:rsidRPr="00FD1A75">
              <w:t>Male</w:t>
            </w:r>
          </w:p>
        </w:tc>
        <w:tc>
          <w:tcPr>
            <w:tcW w:w="1234" w:type="pct"/>
          </w:tcPr>
          <w:p w14:paraId="2BBF1EB6" w14:textId="77777777" w:rsidR="00FD1A75" w:rsidRPr="00FD1A75" w:rsidRDefault="00FD1A75" w:rsidP="00FD1A75">
            <w:pPr>
              <w:jc w:val="center"/>
            </w:pPr>
            <w:r w:rsidRPr="00FD1A75">
              <w:t>17816</w:t>
            </w:r>
          </w:p>
        </w:tc>
        <w:tc>
          <w:tcPr>
            <w:tcW w:w="1272" w:type="pct"/>
          </w:tcPr>
          <w:p w14:paraId="5E09ECA1" w14:textId="77777777" w:rsidR="00FD1A75" w:rsidRPr="00FD1A75" w:rsidRDefault="00FD1A75" w:rsidP="00FD1A75">
            <w:pPr>
              <w:jc w:val="center"/>
            </w:pPr>
            <w:r w:rsidRPr="00FD1A75">
              <w:t>18093</w:t>
            </w:r>
          </w:p>
        </w:tc>
        <w:tc>
          <w:tcPr>
            <w:tcW w:w="361" w:type="pct"/>
          </w:tcPr>
          <w:p w14:paraId="3DC7C563" w14:textId="77777777" w:rsidR="00FD1A75" w:rsidRPr="00066C43" w:rsidRDefault="00FD1A75" w:rsidP="00FD1A75">
            <w:pPr>
              <w:jc w:val="center"/>
              <w:rPr>
                <w:i/>
              </w:rPr>
            </w:pPr>
            <w:r w:rsidRPr="00066C43">
              <w:rPr>
                <w:i/>
              </w:rPr>
              <w:t>↑</w:t>
            </w:r>
          </w:p>
        </w:tc>
      </w:tr>
    </w:tbl>
    <w:p w14:paraId="0B33DCDB" w14:textId="77777777" w:rsidR="00FD1A75" w:rsidRPr="00FD1A75" w:rsidRDefault="00FD1A75" w:rsidP="00467BC2">
      <w:pPr>
        <w:pStyle w:val="Heading3"/>
        <w:numPr>
          <w:ilvl w:val="2"/>
          <w:numId w:val="4"/>
        </w:numPr>
      </w:pPr>
      <w:bookmarkStart w:id="128" w:name="_Toc55202800"/>
      <w:bookmarkStart w:id="129" w:name="_Toc55219272"/>
      <w:bookmarkStart w:id="130" w:name="_Toc55241667"/>
      <w:bookmarkStart w:id="131" w:name="_Toc55573548"/>
      <w:bookmarkStart w:id="132" w:name="_Toc57023246"/>
      <w:bookmarkStart w:id="133" w:name="_Toc63432761"/>
      <w:r w:rsidRPr="00FD1A75">
        <w:t>% Offers Made</w:t>
      </w:r>
      <w:bookmarkEnd w:id="128"/>
      <w:bookmarkEnd w:id="129"/>
      <w:bookmarkEnd w:id="130"/>
      <w:bookmarkEnd w:id="131"/>
      <w:bookmarkEnd w:id="132"/>
      <w:bookmarkEnd w:id="133"/>
    </w:p>
    <w:tbl>
      <w:tblPr>
        <w:tblStyle w:val="TableGrid"/>
        <w:tblW w:w="5000" w:type="pct"/>
        <w:tblLook w:val="04A0" w:firstRow="1" w:lastRow="0" w:firstColumn="1" w:lastColumn="0" w:noHBand="0" w:noVBand="1"/>
      </w:tblPr>
      <w:tblGrid>
        <w:gridCol w:w="3801"/>
        <w:gridCol w:w="2198"/>
        <w:gridCol w:w="2265"/>
        <w:gridCol w:w="752"/>
      </w:tblGrid>
      <w:tr w:rsidR="00FD1A75" w:rsidRPr="00FD1A75" w14:paraId="19E7B3B7" w14:textId="77777777" w:rsidTr="00FD1A75">
        <w:tc>
          <w:tcPr>
            <w:tcW w:w="2108" w:type="pct"/>
            <w:shd w:val="clear" w:color="auto" w:fill="92D050"/>
          </w:tcPr>
          <w:p w14:paraId="5FAC63FF" w14:textId="77777777" w:rsidR="00FD1A75" w:rsidRPr="00FD1A75" w:rsidRDefault="00FD1A75" w:rsidP="00FD1A75">
            <w:pPr>
              <w:rPr>
                <w:b/>
              </w:rPr>
            </w:pPr>
          </w:p>
        </w:tc>
        <w:tc>
          <w:tcPr>
            <w:tcW w:w="1219" w:type="pct"/>
            <w:shd w:val="clear" w:color="auto" w:fill="92D050"/>
          </w:tcPr>
          <w:p w14:paraId="73850E71" w14:textId="77777777" w:rsidR="00FD1A75" w:rsidRPr="00FD1A75" w:rsidRDefault="00FD1A75" w:rsidP="00FD1A75">
            <w:pPr>
              <w:jc w:val="center"/>
              <w:rPr>
                <w:b/>
              </w:rPr>
            </w:pPr>
            <w:r w:rsidRPr="00FD1A75">
              <w:rPr>
                <w:b/>
              </w:rPr>
              <w:t>2018/19</w:t>
            </w:r>
          </w:p>
        </w:tc>
        <w:tc>
          <w:tcPr>
            <w:tcW w:w="1256" w:type="pct"/>
            <w:shd w:val="clear" w:color="auto" w:fill="92D050"/>
          </w:tcPr>
          <w:p w14:paraId="5287F8F7" w14:textId="77777777" w:rsidR="00FD1A75" w:rsidRPr="00FD1A75" w:rsidRDefault="00FD1A75" w:rsidP="00FD1A75">
            <w:pPr>
              <w:jc w:val="center"/>
              <w:rPr>
                <w:b/>
              </w:rPr>
            </w:pPr>
            <w:r w:rsidRPr="00FD1A75">
              <w:rPr>
                <w:b/>
              </w:rPr>
              <w:t>2019/20</w:t>
            </w:r>
          </w:p>
        </w:tc>
        <w:tc>
          <w:tcPr>
            <w:tcW w:w="417" w:type="pct"/>
            <w:shd w:val="clear" w:color="auto" w:fill="92D050"/>
          </w:tcPr>
          <w:p w14:paraId="4566F592" w14:textId="77777777" w:rsidR="00FD1A75" w:rsidRPr="00066C43" w:rsidRDefault="00FD1A75" w:rsidP="00FD1A75">
            <w:pPr>
              <w:jc w:val="center"/>
            </w:pPr>
          </w:p>
        </w:tc>
      </w:tr>
      <w:tr w:rsidR="00FD1A75" w:rsidRPr="00FD1A75" w14:paraId="0741A382" w14:textId="77777777" w:rsidTr="00FD1A75">
        <w:tc>
          <w:tcPr>
            <w:tcW w:w="2108" w:type="pct"/>
            <w:shd w:val="clear" w:color="000000" w:fill="FFFFFF"/>
            <w:vAlign w:val="center"/>
          </w:tcPr>
          <w:p w14:paraId="68E62681"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Asian</w:t>
            </w:r>
          </w:p>
        </w:tc>
        <w:tc>
          <w:tcPr>
            <w:tcW w:w="1219" w:type="pct"/>
          </w:tcPr>
          <w:p w14:paraId="60601773" w14:textId="77777777" w:rsidR="00FD1A75" w:rsidRPr="00FD1A75" w:rsidRDefault="00FD1A75" w:rsidP="00FD1A75">
            <w:pPr>
              <w:jc w:val="center"/>
            </w:pPr>
            <w:r w:rsidRPr="00FD1A75">
              <w:t>65%</w:t>
            </w:r>
          </w:p>
        </w:tc>
        <w:tc>
          <w:tcPr>
            <w:tcW w:w="1256" w:type="pct"/>
          </w:tcPr>
          <w:p w14:paraId="617088E4" w14:textId="77777777" w:rsidR="00FD1A75" w:rsidRPr="00FD1A75" w:rsidRDefault="00FD1A75" w:rsidP="00FD1A75">
            <w:pPr>
              <w:jc w:val="center"/>
            </w:pPr>
            <w:r w:rsidRPr="00FD1A75">
              <w:t>65%</w:t>
            </w:r>
          </w:p>
        </w:tc>
        <w:tc>
          <w:tcPr>
            <w:tcW w:w="417" w:type="pct"/>
          </w:tcPr>
          <w:p w14:paraId="3540852B" w14:textId="77777777" w:rsidR="00FD1A75" w:rsidRPr="00066C43" w:rsidRDefault="00FD1A75" w:rsidP="00FD1A75">
            <w:pPr>
              <w:jc w:val="center"/>
            </w:pPr>
            <w:r w:rsidRPr="00066C43">
              <w:rPr>
                <w:rFonts w:cstheme="minorHAnsi"/>
              </w:rPr>
              <w:t>↔</w:t>
            </w:r>
          </w:p>
        </w:tc>
      </w:tr>
      <w:tr w:rsidR="00FD1A75" w:rsidRPr="00FD1A75" w14:paraId="16077CE2" w14:textId="77777777" w:rsidTr="00FD1A75">
        <w:tc>
          <w:tcPr>
            <w:tcW w:w="2108" w:type="pct"/>
            <w:shd w:val="clear" w:color="000000" w:fill="FFFFFF"/>
            <w:vAlign w:val="center"/>
          </w:tcPr>
          <w:p w14:paraId="7C2A6061"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Black</w:t>
            </w:r>
          </w:p>
        </w:tc>
        <w:tc>
          <w:tcPr>
            <w:tcW w:w="1219" w:type="pct"/>
          </w:tcPr>
          <w:p w14:paraId="00C06540" w14:textId="77777777" w:rsidR="00FD1A75" w:rsidRPr="00FD1A75" w:rsidRDefault="00FD1A75" w:rsidP="00FD1A75">
            <w:pPr>
              <w:jc w:val="center"/>
            </w:pPr>
            <w:r w:rsidRPr="00FD1A75">
              <w:t>65%</w:t>
            </w:r>
          </w:p>
        </w:tc>
        <w:tc>
          <w:tcPr>
            <w:tcW w:w="1256" w:type="pct"/>
          </w:tcPr>
          <w:p w14:paraId="6FF8ED0A" w14:textId="77777777" w:rsidR="00FD1A75" w:rsidRPr="00FD1A75" w:rsidRDefault="00FD1A75" w:rsidP="00FD1A75">
            <w:pPr>
              <w:jc w:val="center"/>
            </w:pPr>
            <w:r w:rsidRPr="00FD1A75">
              <w:t>61%</w:t>
            </w:r>
          </w:p>
        </w:tc>
        <w:tc>
          <w:tcPr>
            <w:tcW w:w="417" w:type="pct"/>
          </w:tcPr>
          <w:p w14:paraId="3BAA7997" w14:textId="77777777" w:rsidR="00FD1A75" w:rsidRPr="00066C43" w:rsidRDefault="00FD1A75" w:rsidP="00FD1A75">
            <w:pPr>
              <w:jc w:val="center"/>
            </w:pPr>
            <w:r w:rsidRPr="00066C43">
              <w:t>↓</w:t>
            </w:r>
          </w:p>
        </w:tc>
      </w:tr>
      <w:tr w:rsidR="00FD1A75" w:rsidRPr="00FD1A75" w14:paraId="1B8F1454" w14:textId="77777777" w:rsidTr="00FD1A75">
        <w:tc>
          <w:tcPr>
            <w:tcW w:w="2108" w:type="pct"/>
            <w:shd w:val="clear" w:color="000000" w:fill="FFFFFF"/>
            <w:vAlign w:val="center"/>
          </w:tcPr>
          <w:p w14:paraId="384EBA93"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Mixed</w:t>
            </w:r>
          </w:p>
        </w:tc>
        <w:tc>
          <w:tcPr>
            <w:tcW w:w="1219" w:type="pct"/>
          </w:tcPr>
          <w:p w14:paraId="3F587664" w14:textId="77777777" w:rsidR="00FD1A75" w:rsidRPr="00FD1A75" w:rsidRDefault="00FD1A75" w:rsidP="00FD1A75">
            <w:pPr>
              <w:jc w:val="center"/>
            </w:pPr>
            <w:r w:rsidRPr="00FD1A75">
              <w:t>79%</w:t>
            </w:r>
          </w:p>
        </w:tc>
        <w:tc>
          <w:tcPr>
            <w:tcW w:w="1256" w:type="pct"/>
          </w:tcPr>
          <w:p w14:paraId="3FC29DC4" w14:textId="77777777" w:rsidR="00FD1A75" w:rsidRPr="00FD1A75" w:rsidRDefault="00FD1A75" w:rsidP="00FD1A75">
            <w:pPr>
              <w:jc w:val="center"/>
            </w:pPr>
            <w:r w:rsidRPr="00FD1A75">
              <w:t>79%</w:t>
            </w:r>
          </w:p>
        </w:tc>
        <w:tc>
          <w:tcPr>
            <w:tcW w:w="417" w:type="pct"/>
          </w:tcPr>
          <w:p w14:paraId="282B2DF7" w14:textId="77777777" w:rsidR="00FD1A75" w:rsidRPr="00066C43" w:rsidRDefault="00FD1A75" w:rsidP="00FD1A75">
            <w:pPr>
              <w:jc w:val="center"/>
            </w:pPr>
            <w:r w:rsidRPr="00066C43">
              <w:t>↔</w:t>
            </w:r>
          </w:p>
        </w:tc>
      </w:tr>
      <w:tr w:rsidR="00FD1A75" w:rsidRPr="00FD1A75" w14:paraId="77B341EC" w14:textId="77777777" w:rsidTr="00FD1A75">
        <w:tc>
          <w:tcPr>
            <w:tcW w:w="2108" w:type="pct"/>
            <w:shd w:val="clear" w:color="000000" w:fill="FFFFFF"/>
            <w:vAlign w:val="center"/>
          </w:tcPr>
          <w:p w14:paraId="5B0BABD0"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Other</w:t>
            </w:r>
          </w:p>
        </w:tc>
        <w:tc>
          <w:tcPr>
            <w:tcW w:w="1219" w:type="pct"/>
          </w:tcPr>
          <w:p w14:paraId="69CB2779" w14:textId="77777777" w:rsidR="00FD1A75" w:rsidRPr="00FD1A75" w:rsidRDefault="00FD1A75" w:rsidP="00FD1A75">
            <w:pPr>
              <w:jc w:val="center"/>
            </w:pPr>
            <w:r w:rsidRPr="00FD1A75">
              <w:t>57%</w:t>
            </w:r>
          </w:p>
        </w:tc>
        <w:tc>
          <w:tcPr>
            <w:tcW w:w="1256" w:type="pct"/>
          </w:tcPr>
          <w:p w14:paraId="31B62FCA" w14:textId="77777777" w:rsidR="00FD1A75" w:rsidRPr="00FD1A75" w:rsidRDefault="00FD1A75" w:rsidP="00FD1A75">
            <w:pPr>
              <w:jc w:val="center"/>
            </w:pPr>
            <w:r w:rsidRPr="00FD1A75">
              <w:t>57%</w:t>
            </w:r>
          </w:p>
        </w:tc>
        <w:tc>
          <w:tcPr>
            <w:tcW w:w="417" w:type="pct"/>
          </w:tcPr>
          <w:p w14:paraId="35542243" w14:textId="77777777" w:rsidR="00FD1A75" w:rsidRPr="00066C43" w:rsidRDefault="00FD1A75" w:rsidP="00FD1A75">
            <w:pPr>
              <w:jc w:val="center"/>
            </w:pPr>
            <w:r w:rsidRPr="00066C43">
              <w:t>↔</w:t>
            </w:r>
          </w:p>
        </w:tc>
      </w:tr>
      <w:tr w:rsidR="00FD1A75" w:rsidRPr="00FD1A75" w14:paraId="65391EA7" w14:textId="77777777" w:rsidTr="00FD1A75">
        <w:tc>
          <w:tcPr>
            <w:tcW w:w="2108" w:type="pct"/>
            <w:tcBorders>
              <w:bottom w:val="single" w:sz="12" w:space="0" w:color="auto"/>
            </w:tcBorders>
            <w:shd w:val="clear" w:color="000000" w:fill="FFFFFF"/>
            <w:vAlign w:val="center"/>
          </w:tcPr>
          <w:p w14:paraId="32F4F5EB"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White</w:t>
            </w:r>
          </w:p>
        </w:tc>
        <w:tc>
          <w:tcPr>
            <w:tcW w:w="1219" w:type="pct"/>
            <w:tcBorders>
              <w:bottom w:val="single" w:sz="12" w:space="0" w:color="auto"/>
            </w:tcBorders>
          </w:tcPr>
          <w:p w14:paraId="7A8B0385" w14:textId="77777777" w:rsidR="00FD1A75" w:rsidRPr="00FD1A75" w:rsidRDefault="00FD1A75" w:rsidP="00FD1A75">
            <w:pPr>
              <w:jc w:val="center"/>
            </w:pPr>
            <w:r w:rsidRPr="00FD1A75">
              <w:t>81%</w:t>
            </w:r>
          </w:p>
        </w:tc>
        <w:tc>
          <w:tcPr>
            <w:tcW w:w="1256" w:type="pct"/>
            <w:tcBorders>
              <w:bottom w:val="single" w:sz="12" w:space="0" w:color="auto"/>
            </w:tcBorders>
          </w:tcPr>
          <w:p w14:paraId="42130CA3" w14:textId="77777777" w:rsidR="00FD1A75" w:rsidRPr="00FD1A75" w:rsidRDefault="00FD1A75" w:rsidP="00FD1A75">
            <w:pPr>
              <w:jc w:val="center"/>
            </w:pPr>
            <w:r w:rsidRPr="00FD1A75">
              <w:t>81%</w:t>
            </w:r>
          </w:p>
        </w:tc>
        <w:tc>
          <w:tcPr>
            <w:tcW w:w="417" w:type="pct"/>
            <w:tcBorders>
              <w:bottom w:val="single" w:sz="12" w:space="0" w:color="auto"/>
            </w:tcBorders>
          </w:tcPr>
          <w:p w14:paraId="6FD8A4D9" w14:textId="77777777" w:rsidR="00FD1A75" w:rsidRPr="00066C43" w:rsidRDefault="00FD1A75" w:rsidP="00FD1A75">
            <w:pPr>
              <w:jc w:val="center"/>
            </w:pPr>
            <w:r w:rsidRPr="00066C43">
              <w:t>↔</w:t>
            </w:r>
          </w:p>
        </w:tc>
      </w:tr>
      <w:tr w:rsidR="00FD1A75" w:rsidRPr="00FD1A75" w14:paraId="11F00710" w14:textId="77777777" w:rsidTr="00FD1A75">
        <w:tc>
          <w:tcPr>
            <w:tcW w:w="2108" w:type="pct"/>
            <w:tcBorders>
              <w:top w:val="single" w:sz="12" w:space="0" w:color="auto"/>
            </w:tcBorders>
          </w:tcPr>
          <w:p w14:paraId="5B59D664" w14:textId="77777777" w:rsidR="00FD1A75" w:rsidRPr="00FD1A75" w:rsidRDefault="00FD1A75" w:rsidP="00FD1A75">
            <w:r w:rsidRPr="00FD1A75">
              <w:t>Female</w:t>
            </w:r>
          </w:p>
        </w:tc>
        <w:tc>
          <w:tcPr>
            <w:tcW w:w="1219" w:type="pct"/>
            <w:tcBorders>
              <w:top w:val="single" w:sz="12" w:space="0" w:color="auto"/>
            </w:tcBorders>
          </w:tcPr>
          <w:p w14:paraId="20829F7C" w14:textId="77777777" w:rsidR="00FD1A75" w:rsidRPr="00FD1A75" w:rsidRDefault="00FD1A75" w:rsidP="00FD1A75">
            <w:pPr>
              <w:jc w:val="center"/>
            </w:pPr>
            <w:r w:rsidRPr="00FD1A75">
              <w:t>76%</w:t>
            </w:r>
          </w:p>
        </w:tc>
        <w:tc>
          <w:tcPr>
            <w:tcW w:w="1256" w:type="pct"/>
            <w:tcBorders>
              <w:top w:val="single" w:sz="12" w:space="0" w:color="auto"/>
            </w:tcBorders>
          </w:tcPr>
          <w:p w14:paraId="4E2D13C4" w14:textId="77777777" w:rsidR="00FD1A75" w:rsidRPr="00FD1A75" w:rsidRDefault="00FD1A75" w:rsidP="00FD1A75">
            <w:pPr>
              <w:jc w:val="center"/>
            </w:pPr>
            <w:r w:rsidRPr="00FD1A75">
              <w:t>76%</w:t>
            </w:r>
          </w:p>
        </w:tc>
        <w:tc>
          <w:tcPr>
            <w:tcW w:w="417" w:type="pct"/>
            <w:tcBorders>
              <w:top w:val="single" w:sz="12" w:space="0" w:color="auto"/>
            </w:tcBorders>
          </w:tcPr>
          <w:p w14:paraId="325C1720" w14:textId="77777777" w:rsidR="00FD1A75" w:rsidRPr="00066C43" w:rsidRDefault="00FD1A75" w:rsidP="00FD1A75">
            <w:pPr>
              <w:jc w:val="center"/>
            </w:pPr>
            <w:r w:rsidRPr="00066C43">
              <w:t>↔</w:t>
            </w:r>
          </w:p>
        </w:tc>
      </w:tr>
      <w:tr w:rsidR="00FD1A75" w:rsidRPr="00FD1A75" w14:paraId="23ECC6F1" w14:textId="77777777" w:rsidTr="00FD1A75">
        <w:tc>
          <w:tcPr>
            <w:tcW w:w="2108" w:type="pct"/>
          </w:tcPr>
          <w:p w14:paraId="404B9B86" w14:textId="77777777" w:rsidR="00FD1A75" w:rsidRPr="00FD1A75" w:rsidRDefault="00FD1A75" w:rsidP="00FD1A75">
            <w:r w:rsidRPr="00FD1A75">
              <w:t>Male</w:t>
            </w:r>
          </w:p>
        </w:tc>
        <w:tc>
          <w:tcPr>
            <w:tcW w:w="1219" w:type="pct"/>
          </w:tcPr>
          <w:p w14:paraId="2F9A2BB0" w14:textId="77777777" w:rsidR="00FD1A75" w:rsidRPr="00FD1A75" w:rsidRDefault="00FD1A75" w:rsidP="00FD1A75">
            <w:pPr>
              <w:jc w:val="center"/>
            </w:pPr>
            <w:r w:rsidRPr="00FD1A75">
              <w:t>77%</w:t>
            </w:r>
          </w:p>
        </w:tc>
        <w:tc>
          <w:tcPr>
            <w:tcW w:w="1256" w:type="pct"/>
          </w:tcPr>
          <w:p w14:paraId="488AC7C5" w14:textId="77777777" w:rsidR="00FD1A75" w:rsidRPr="00FD1A75" w:rsidRDefault="00FD1A75" w:rsidP="00FD1A75">
            <w:pPr>
              <w:jc w:val="center"/>
            </w:pPr>
            <w:r w:rsidRPr="00FD1A75">
              <w:t>77%</w:t>
            </w:r>
          </w:p>
        </w:tc>
        <w:tc>
          <w:tcPr>
            <w:tcW w:w="417" w:type="pct"/>
          </w:tcPr>
          <w:p w14:paraId="0F1E9953" w14:textId="77777777" w:rsidR="00FD1A75" w:rsidRPr="00066C43" w:rsidRDefault="00FD1A75" w:rsidP="00FD1A75">
            <w:pPr>
              <w:jc w:val="center"/>
            </w:pPr>
            <w:r w:rsidRPr="00066C43">
              <w:t>↔</w:t>
            </w:r>
          </w:p>
        </w:tc>
      </w:tr>
    </w:tbl>
    <w:p w14:paraId="4D98D175" w14:textId="77777777" w:rsidR="00FD1A75" w:rsidRPr="00FD1A75" w:rsidRDefault="00FD1A75" w:rsidP="00467BC2">
      <w:pPr>
        <w:pStyle w:val="Heading3"/>
        <w:numPr>
          <w:ilvl w:val="2"/>
          <w:numId w:val="4"/>
        </w:numPr>
      </w:pPr>
      <w:bookmarkStart w:id="134" w:name="_Toc55202801"/>
      <w:bookmarkStart w:id="135" w:name="_Toc55219273"/>
      <w:bookmarkStart w:id="136" w:name="_Toc55241668"/>
      <w:bookmarkStart w:id="137" w:name="_Toc55573549"/>
      <w:bookmarkStart w:id="138" w:name="_Toc57023247"/>
      <w:bookmarkStart w:id="139" w:name="_Toc63432762"/>
      <w:r w:rsidRPr="00FD1A75">
        <w:t>% Offers Accepted</w:t>
      </w:r>
      <w:bookmarkEnd w:id="134"/>
      <w:bookmarkEnd w:id="135"/>
      <w:bookmarkEnd w:id="136"/>
      <w:bookmarkEnd w:id="137"/>
      <w:bookmarkEnd w:id="138"/>
      <w:bookmarkEnd w:id="139"/>
    </w:p>
    <w:tbl>
      <w:tblPr>
        <w:tblStyle w:val="TableGrid"/>
        <w:tblW w:w="5000" w:type="pct"/>
        <w:tblLook w:val="04A0" w:firstRow="1" w:lastRow="0" w:firstColumn="1" w:lastColumn="0" w:noHBand="0" w:noVBand="1"/>
      </w:tblPr>
      <w:tblGrid>
        <w:gridCol w:w="3801"/>
        <w:gridCol w:w="2198"/>
        <w:gridCol w:w="2265"/>
        <w:gridCol w:w="752"/>
      </w:tblGrid>
      <w:tr w:rsidR="00FD1A75" w:rsidRPr="00FD1A75" w14:paraId="7E5AA75B" w14:textId="77777777" w:rsidTr="00FD1A75">
        <w:tc>
          <w:tcPr>
            <w:tcW w:w="2108" w:type="pct"/>
            <w:shd w:val="clear" w:color="auto" w:fill="92D050"/>
          </w:tcPr>
          <w:p w14:paraId="7AA86166" w14:textId="77777777" w:rsidR="00FD1A75" w:rsidRPr="00FD1A75" w:rsidRDefault="00FD1A75" w:rsidP="00FD1A75">
            <w:pPr>
              <w:rPr>
                <w:b/>
              </w:rPr>
            </w:pPr>
          </w:p>
        </w:tc>
        <w:tc>
          <w:tcPr>
            <w:tcW w:w="1219" w:type="pct"/>
            <w:shd w:val="clear" w:color="auto" w:fill="92D050"/>
          </w:tcPr>
          <w:p w14:paraId="28AD757A" w14:textId="77777777" w:rsidR="00FD1A75" w:rsidRPr="00FD1A75" w:rsidRDefault="00FD1A75" w:rsidP="00FD1A75">
            <w:pPr>
              <w:jc w:val="center"/>
              <w:rPr>
                <w:b/>
              </w:rPr>
            </w:pPr>
            <w:r w:rsidRPr="00FD1A75">
              <w:rPr>
                <w:b/>
              </w:rPr>
              <w:t>2018/19</w:t>
            </w:r>
          </w:p>
        </w:tc>
        <w:tc>
          <w:tcPr>
            <w:tcW w:w="1256" w:type="pct"/>
            <w:shd w:val="clear" w:color="auto" w:fill="92D050"/>
          </w:tcPr>
          <w:p w14:paraId="218080B2" w14:textId="77777777" w:rsidR="00FD1A75" w:rsidRPr="00FD1A75" w:rsidRDefault="00FD1A75" w:rsidP="00FD1A75">
            <w:pPr>
              <w:jc w:val="center"/>
              <w:rPr>
                <w:b/>
              </w:rPr>
            </w:pPr>
            <w:r w:rsidRPr="00FD1A75">
              <w:rPr>
                <w:b/>
              </w:rPr>
              <w:t>2019/20</w:t>
            </w:r>
          </w:p>
        </w:tc>
        <w:tc>
          <w:tcPr>
            <w:tcW w:w="417" w:type="pct"/>
            <w:shd w:val="clear" w:color="auto" w:fill="92D050"/>
          </w:tcPr>
          <w:p w14:paraId="59D5E90E" w14:textId="77777777" w:rsidR="00FD1A75" w:rsidRPr="00066C43" w:rsidRDefault="00FD1A75" w:rsidP="00FD1A75">
            <w:pPr>
              <w:jc w:val="center"/>
            </w:pPr>
          </w:p>
        </w:tc>
      </w:tr>
      <w:tr w:rsidR="00FD1A75" w:rsidRPr="00FD1A75" w14:paraId="7F72E807" w14:textId="77777777" w:rsidTr="00FD1A75">
        <w:tc>
          <w:tcPr>
            <w:tcW w:w="2108" w:type="pct"/>
            <w:shd w:val="clear" w:color="000000" w:fill="FFFFFF"/>
            <w:vAlign w:val="center"/>
          </w:tcPr>
          <w:p w14:paraId="76D35620"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Asian</w:t>
            </w:r>
          </w:p>
        </w:tc>
        <w:tc>
          <w:tcPr>
            <w:tcW w:w="1219" w:type="pct"/>
          </w:tcPr>
          <w:p w14:paraId="249C046F" w14:textId="77777777" w:rsidR="00FD1A75" w:rsidRPr="00FD1A75" w:rsidRDefault="00FD1A75" w:rsidP="00FD1A75">
            <w:pPr>
              <w:jc w:val="center"/>
            </w:pPr>
            <w:r w:rsidRPr="00FD1A75">
              <w:t>25%</w:t>
            </w:r>
          </w:p>
        </w:tc>
        <w:tc>
          <w:tcPr>
            <w:tcW w:w="1256" w:type="pct"/>
          </w:tcPr>
          <w:p w14:paraId="1062E514" w14:textId="77777777" w:rsidR="00FD1A75" w:rsidRPr="00FD1A75" w:rsidRDefault="00FD1A75" w:rsidP="00FD1A75">
            <w:pPr>
              <w:jc w:val="center"/>
            </w:pPr>
            <w:r w:rsidRPr="00FD1A75">
              <w:t>27%</w:t>
            </w:r>
          </w:p>
        </w:tc>
        <w:tc>
          <w:tcPr>
            <w:tcW w:w="417" w:type="pct"/>
          </w:tcPr>
          <w:p w14:paraId="3CFAE012" w14:textId="77777777" w:rsidR="00FD1A75" w:rsidRPr="00066C43" w:rsidRDefault="00FD1A75" w:rsidP="00FD1A75">
            <w:pPr>
              <w:jc w:val="center"/>
              <w:rPr>
                <w:i/>
              </w:rPr>
            </w:pPr>
            <w:r w:rsidRPr="00066C43">
              <w:rPr>
                <w:rFonts w:cstheme="minorHAnsi"/>
                <w:i/>
              </w:rPr>
              <w:t>↑</w:t>
            </w:r>
          </w:p>
        </w:tc>
      </w:tr>
      <w:tr w:rsidR="00FD1A75" w:rsidRPr="00FD1A75" w14:paraId="12614820" w14:textId="77777777" w:rsidTr="00FD1A75">
        <w:tc>
          <w:tcPr>
            <w:tcW w:w="2108" w:type="pct"/>
            <w:shd w:val="clear" w:color="000000" w:fill="FFFFFF"/>
            <w:vAlign w:val="center"/>
          </w:tcPr>
          <w:p w14:paraId="763C5E68"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Black</w:t>
            </w:r>
          </w:p>
        </w:tc>
        <w:tc>
          <w:tcPr>
            <w:tcW w:w="1219" w:type="pct"/>
          </w:tcPr>
          <w:p w14:paraId="04FEC461" w14:textId="77777777" w:rsidR="00FD1A75" w:rsidRPr="00FD1A75" w:rsidRDefault="00FD1A75" w:rsidP="00FD1A75">
            <w:pPr>
              <w:jc w:val="center"/>
            </w:pPr>
            <w:r w:rsidRPr="00FD1A75">
              <w:t>27%</w:t>
            </w:r>
          </w:p>
        </w:tc>
        <w:tc>
          <w:tcPr>
            <w:tcW w:w="1256" w:type="pct"/>
          </w:tcPr>
          <w:p w14:paraId="3CC075CF" w14:textId="77777777" w:rsidR="00FD1A75" w:rsidRPr="00FD1A75" w:rsidRDefault="00FD1A75" w:rsidP="00FD1A75">
            <w:pPr>
              <w:jc w:val="center"/>
            </w:pPr>
            <w:r w:rsidRPr="00FD1A75">
              <w:t>22%</w:t>
            </w:r>
          </w:p>
        </w:tc>
        <w:tc>
          <w:tcPr>
            <w:tcW w:w="417" w:type="pct"/>
          </w:tcPr>
          <w:p w14:paraId="3E74655C" w14:textId="77777777" w:rsidR="00FD1A75" w:rsidRPr="00066C43" w:rsidRDefault="00FD1A75" w:rsidP="00FD1A75">
            <w:pPr>
              <w:jc w:val="center"/>
            </w:pPr>
            <w:r w:rsidRPr="00066C43">
              <w:rPr>
                <w:rFonts w:cstheme="minorHAnsi"/>
              </w:rPr>
              <w:t>↓</w:t>
            </w:r>
          </w:p>
        </w:tc>
      </w:tr>
      <w:tr w:rsidR="00FD1A75" w:rsidRPr="00FD1A75" w14:paraId="532BD430" w14:textId="77777777" w:rsidTr="00FD1A75">
        <w:tc>
          <w:tcPr>
            <w:tcW w:w="2108" w:type="pct"/>
            <w:shd w:val="clear" w:color="000000" w:fill="FFFFFF"/>
            <w:vAlign w:val="center"/>
          </w:tcPr>
          <w:p w14:paraId="3918B4F7"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Mixed</w:t>
            </w:r>
          </w:p>
        </w:tc>
        <w:tc>
          <w:tcPr>
            <w:tcW w:w="1219" w:type="pct"/>
          </w:tcPr>
          <w:p w14:paraId="03E32A32" w14:textId="77777777" w:rsidR="00FD1A75" w:rsidRPr="00FD1A75" w:rsidRDefault="00FD1A75" w:rsidP="00FD1A75">
            <w:pPr>
              <w:jc w:val="center"/>
            </w:pPr>
            <w:r w:rsidRPr="00FD1A75">
              <w:t>31%</w:t>
            </w:r>
          </w:p>
        </w:tc>
        <w:tc>
          <w:tcPr>
            <w:tcW w:w="1256" w:type="pct"/>
          </w:tcPr>
          <w:p w14:paraId="3CD67810" w14:textId="77777777" w:rsidR="00FD1A75" w:rsidRPr="00FD1A75" w:rsidRDefault="00FD1A75" w:rsidP="00FD1A75">
            <w:pPr>
              <w:jc w:val="center"/>
            </w:pPr>
            <w:r w:rsidRPr="00FD1A75">
              <w:t>32%</w:t>
            </w:r>
          </w:p>
        </w:tc>
        <w:tc>
          <w:tcPr>
            <w:tcW w:w="417" w:type="pct"/>
          </w:tcPr>
          <w:p w14:paraId="0AC8C4A0" w14:textId="77777777" w:rsidR="00FD1A75" w:rsidRPr="00066C43" w:rsidRDefault="00FD1A75" w:rsidP="00FD1A75">
            <w:pPr>
              <w:jc w:val="center"/>
              <w:rPr>
                <w:i/>
              </w:rPr>
            </w:pPr>
            <w:r w:rsidRPr="00066C43">
              <w:rPr>
                <w:i/>
              </w:rPr>
              <w:t>↑</w:t>
            </w:r>
          </w:p>
        </w:tc>
      </w:tr>
      <w:tr w:rsidR="00FD1A75" w:rsidRPr="00FD1A75" w14:paraId="67D42052" w14:textId="77777777" w:rsidTr="00FD1A75">
        <w:tc>
          <w:tcPr>
            <w:tcW w:w="2108" w:type="pct"/>
            <w:shd w:val="clear" w:color="000000" w:fill="FFFFFF"/>
            <w:vAlign w:val="center"/>
          </w:tcPr>
          <w:p w14:paraId="537819C4"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Other</w:t>
            </w:r>
          </w:p>
        </w:tc>
        <w:tc>
          <w:tcPr>
            <w:tcW w:w="1219" w:type="pct"/>
          </w:tcPr>
          <w:p w14:paraId="4181565C" w14:textId="77777777" w:rsidR="00FD1A75" w:rsidRPr="00FD1A75" w:rsidRDefault="00FD1A75" w:rsidP="00FD1A75">
            <w:pPr>
              <w:jc w:val="center"/>
            </w:pPr>
            <w:r w:rsidRPr="00FD1A75">
              <w:t>25%</w:t>
            </w:r>
          </w:p>
        </w:tc>
        <w:tc>
          <w:tcPr>
            <w:tcW w:w="1256" w:type="pct"/>
          </w:tcPr>
          <w:p w14:paraId="19DADF51" w14:textId="77777777" w:rsidR="00FD1A75" w:rsidRPr="00FD1A75" w:rsidRDefault="00FD1A75" w:rsidP="00FD1A75">
            <w:pPr>
              <w:jc w:val="center"/>
            </w:pPr>
            <w:r w:rsidRPr="00FD1A75">
              <w:t>31%</w:t>
            </w:r>
          </w:p>
        </w:tc>
        <w:tc>
          <w:tcPr>
            <w:tcW w:w="417" w:type="pct"/>
          </w:tcPr>
          <w:p w14:paraId="7CB5DC5F" w14:textId="77777777" w:rsidR="00FD1A75" w:rsidRPr="00066C43" w:rsidRDefault="00FD1A75" w:rsidP="00FD1A75">
            <w:pPr>
              <w:jc w:val="center"/>
              <w:rPr>
                <w:i/>
              </w:rPr>
            </w:pPr>
            <w:r w:rsidRPr="00066C43">
              <w:rPr>
                <w:i/>
              </w:rPr>
              <w:t>↑</w:t>
            </w:r>
          </w:p>
        </w:tc>
      </w:tr>
      <w:tr w:rsidR="00FD1A75" w:rsidRPr="00FD1A75" w14:paraId="47F19C45" w14:textId="77777777" w:rsidTr="00FD1A75">
        <w:tc>
          <w:tcPr>
            <w:tcW w:w="2108" w:type="pct"/>
            <w:tcBorders>
              <w:bottom w:val="single" w:sz="12" w:space="0" w:color="auto"/>
            </w:tcBorders>
            <w:shd w:val="clear" w:color="000000" w:fill="FFFFFF"/>
            <w:vAlign w:val="center"/>
          </w:tcPr>
          <w:p w14:paraId="4FE8D4B6"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White</w:t>
            </w:r>
          </w:p>
        </w:tc>
        <w:tc>
          <w:tcPr>
            <w:tcW w:w="1219" w:type="pct"/>
            <w:tcBorders>
              <w:bottom w:val="single" w:sz="12" w:space="0" w:color="auto"/>
            </w:tcBorders>
          </w:tcPr>
          <w:p w14:paraId="32352BAD" w14:textId="77777777" w:rsidR="00FD1A75" w:rsidRPr="00FD1A75" w:rsidRDefault="00FD1A75" w:rsidP="00FD1A75">
            <w:pPr>
              <w:jc w:val="center"/>
            </w:pPr>
            <w:r w:rsidRPr="00FD1A75">
              <w:t>35%</w:t>
            </w:r>
          </w:p>
        </w:tc>
        <w:tc>
          <w:tcPr>
            <w:tcW w:w="1256" w:type="pct"/>
            <w:tcBorders>
              <w:bottom w:val="single" w:sz="12" w:space="0" w:color="auto"/>
            </w:tcBorders>
          </w:tcPr>
          <w:p w14:paraId="3CD9525B" w14:textId="77777777" w:rsidR="00FD1A75" w:rsidRPr="00FD1A75" w:rsidRDefault="00FD1A75" w:rsidP="00FD1A75">
            <w:pPr>
              <w:jc w:val="center"/>
            </w:pPr>
            <w:r w:rsidRPr="00FD1A75">
              <w:t>33%</w:t>
            </w:r>
          </w:p>
        </w:tc>
        <w:tc>
          <w:tcPr>
            <w:tcW w:w="417" w:type="pct"/>
            <w:tcBorders>
              <w:bottom w:val="single" w:sz="12" w:space="0" w:color="auto"/>
            </w:tcBorders>
          </w:tcPr>
          <w:p w14:paraId="783943F9" w14:textId="77777777" w:rsidR="00FD1A75" w:rsidRPr="00066C43" w:rsidRDefault="00FD1A75" w:rsidP="00FD1A75">
            <w:pPr>
              <w:jc w:val="center"/>
            </w:pPr>
            <w:r w:rsidRPr="00066C43">
              <w:t>↓</w:t>
            </w:r>
          </w:p>
        </w:tc>
      </w:tr>
      <w:tr w:rsidR="00FD1A75" w:rsidRPr="00FD1A75" w14:paraId="56FB660D" w14:textId="77777777" w:rsidTr="00FD1A75">
        <w:tc>
          <w:tcPr>
            <w:tcW w:w="2108" w:type="pct"/>
            <w:tcBorders>
              <w:top w:val="single" w:sz="12" w:space="0" w:color="auto"/>
            </w:tcBorders>
          </w:tcPr>
          <w:p w14:paraId="1B04E3CD" w14:textId="77777777" w:rsidR="00FD1A75" w:rsidRPr="00FD1A75" w:rsidRDefault="00FD1A75" w:rsidP="00FD1A75">
            <w:r w:rsidRPr="00FD1A75">
              <w:t>Female</w:t>
            </w:r>
          </w:p>
        </w:tc>
        <w:tc>
          <w:tcPr>
            <w:tcW w:w="1219" w:type="pct"/>
            <w:tcBorders>
              <w:top w:val="single" w:sz="12" w:space="0" w:color="auto"/>
            </w:tcBorders>
          </w:tcPr>
          <w:p w14:paraId="25A3F60F" w14:textId="77777777" w:rsidR="00FD1A75" w:rsidRPr="00FD1A75" w:rsidRDefault="00FD1A75" w:rsidP="00FD1A75">
            <w:pPr>
              <w:jc w:val="center"/>
            </w:pPr>
            <w:r w:rsidRPr="00FD1A75">
              <w:t>32%</w:t>
            </w:r>
          </w:p>
        </w:tc>
        <w:tc>
          <w:tcPr>
            <w:tcW w:w="1256" w:type="pct"/>
            <w:tcBorders>
              <w:top w:val="single" w:sz="12" w:space="0" w:color="auto"/>
            </w:tcBorders>
          </w:tcPr>
          <w:p w14:paraId="1E2354F9" w14:textId="77777777" w:rsidR="00FD1A75" w:rsidRPr="00FD1A75" w:rsidRDefault="00FD1A75" w:rsidP="00FD1A75">
            <w:pPr>
              <w:jc w:val="center"/>
            </w:pPr>
            <w:r w:rsidRPr="00FD1A75">
              <w:t>32%</w:t>
            </w:r>
          </w:p>
        </w:tc>
        <w:tc>
          <w:tcPr>
            <w:tcW w:w="417" w:type="pct"/>
            <w:tcBorders>
              <w:top w:val="single" w:sz="12" w:space="0" w:color="auto"/>
            </w:tcBorders>
          </w:tcPr>
          <w:p w14:paraId="4C7F9EC9" w14:textId="77777777" w:rsidR="00FD1A75" w:rsidRPr="00066C43" w:rsidRDefault="00FD1A75" w:rsidP="00FD1A75">
            <w:pPr>
              <w:jc w:val="center"/>
            </w:pPr>
            <w:r w:rsidRPr="00066C43">
              <w:t>↔</w:t>
            </w:r>
          </w:p>
        </w:tc>
      </w:tr>
      <w:tr w:rsidR="00FD1A75" w:rsidRPr="00FD1A75" w14:paraId="799D6DB1" w14:textId="77777777" w:rsidTr="00FD1A75">
        <w:tc>
          <w:tcPr>
            <w:tcW w:w="2108" w:type="pct"/>
          </w:tcPr>
          <w:p w14:paraId="0586E32F" w14:textId="77777777" w:rsidR="00FD1A75" w:rsidRPr="00FD1A75" w:rsidRDefault="00FD1A75" w:rsidP="00FD1A75">
            <w:r w:rsidRPr="00FD1A75">
              <w:t>Male</w:t>
            </w:r>
          </w:p>
        </w:tc>
        <w:tc>
          <w:tcPr>
            <w:tcW w:w="1219" w:type="pct"/>
          </w:tcPr>
          <w:p w14:paraId="22C6291D" w14:textId="77777777" w:rsidR="00FD1A75" w:rsidRPr="00FD1A75" w:rsidRDefault="00FD1A75" w:rsidP="00FD1A75">
            <w:pPr>
              <w:jc w:val="center"/>
            </w:pPr>
            <w:r w:rsidRPr="00FD1A75">
              <w:t>30%</w:t>
            </w:r>
          </w:p>
        </w:tc>
        <w:tc>
          <w:tcPr>
            <w:tcW w:w="1256" w:type="pct"/>
          </w:tcPr>
          <w:p w14:paraId="2724095D" w14:textId="77777777" w:rsidR="00FD1A75" w:rsidRPr="00FD1A75" w:rsidRDefault="00FD1A75" w:rsidP="00FD1A75">
            <w:pPr>
              <w:jc w:val="center"/>
            </w:pPr>
            <w:r w:rsidRPr="00FD1A75">
              <w:t>29%</w:t>
            </w:r>
          </w:p>
        </w:tc>
        <w:tc>
          <w:tcPr>
            <w:tcW w:w="417" w:type="pct"/>
          </w:tcPr>
          <w:p w14:paraId="2C8807BB" w14:textId="77777777" w:rsidR="00FD1A75" w:rsidRPr="00066C43" w:rsidRDefault="00FD1A75" w:rsidP="00FD1A75">
            <w:pPr>
              <w:jc w:val="center"/>
            </w:pPr>
            <w:r w:rsidRPr="00066C43">
              <w:t>↓</w:t>
            </w:r>
          </w:p>
        </w:tc>
      </w:tr>
    </w:tbl>
    <w:p w14:paraId="27861A8F" w14:textId="77777777" w:rsidR="00FD1A75" w:rsidRPr="00FD1A75" w:rsidRDefault="00FD1A75" w:rsidP="00467BC2">
      <w:pPr>
        <w:pStyle w:val="Heading3"/>
        <w:numPr>
          <w:ilvl w:val="2"/>
          <w:numId w:val="4"/>
        </w:numPr>
      </w:pPr>
      <w:bookmarkStart w:id="140" w:name="_Toc55202802"/>
      <w:bookmarkStart w:id="141" w:name="_Toc55219274"/>
      <w:bookmarkStart w:id="142" w:name="_Toc55241669"/>
      <w:bookmarkStart w:id="143" w:name="_Toc55573550"/>
      <w:bookmarkStart w:id="144" w:name="_Toc57023248"/>
      <w:bookmarkStart w:id="145" w:name="_Toc63432763"/>
      <w:r w:rsidRPr="00FD1A75">
        <w:t>% Registrations</w:t>
      </w:r>
      <w:bookmarkEnd w:id="140"/>
      <w:bookmarkEnd w:id="141"/>
      <w:bookmarkEnd w:id="142"/>
      <w:bookmarkEnd w:id="143"/>
      <w:bookmarkEnd w:id="144"/>
      <w:bookmarkEnd w:id="145"/>
    </w:p>
    <w:tbl>
      <w:tblPr>
        <w:tblStyle w:val="TableGrid"/>
        <w:tblW w:w="5000" w:type="pct"/>
        <w:tblLook w:val="04A0" w:firstRow="1" w:lastRow="0" w:firstColumn="1" w:lastColumn="0" w:noHBand="0" w:noVBand="1"/>
      </w:tblPr>
      <w:tblGrid>
        <w:gridCol w:w="3846"/>
        <w:gridCol w:w="2225"/>
        <w:gridCol w:w="2294"/>
        <w:gridCol w:w="651"/>
      </w:tblGrid>
      <w:tr w:rsidR="00FD1A75" w:rsidRPr="00FD1A75" w14:paraId="7A9E52EB" w14:textId="77777777" w:rsidTr="00FD1A75">
        <w:tc>
          <w:tcPr>
            <w:tcW w:w="2133" w:type="pct"/>
            <w:shd w:val="clear" w:color="auto" w:fill="92D050"/>
          </w:tcPr>
          <w:p w14:paraId="5EB5B225" w14:textId="77777777" w:rsidR="00FD1A75" w:rsidRPr="00FD1A75" w:rsidRDefault="00FD1A75" w:rsidP="00FD1A75">
            <w:pPr>
              <w:rPr>
                <w:b/>
              </w:rPr>
            </w:pPr>
          </w:p>
        </w:tc>
        <w:tc>
          <w:tcPr>
            <w:tcW w:w="1234" w:type="pct"/>
            <w:shd w:val="clear" w:color="auto" w:fill="92D050"/>
          </w:tcPr>
          <w:p w14:paraId="7B80193E" w14:textId="77777777" w:rsidR="00FD1A75" w:rsidRPr="00FD1A75" w:rsidRDefault="00FD1A75" w:rsidP="00FD1A75">
            <w:pPr>
              <w:jc w:val="center"/>
              <w:rPr>
                <w:b/>
              </w:rPr>
            </w:pPr>
            <w:r w:rsidRPr="00FD1A75">
              <w:rPr>
                <w:b/>
              </w:rPr>
              <w:t>2018/19</w:t>
            </w:r>
          </w:p>
        </w:tc>
        <w:tc>
          <w:tcPr>
            <w:tcW w:w="1272" w:type="pct"/>
            <w:shd w:val="clear" w:color="auto" w:fill="92D050"/>
          </w:tcPr>
          <w:p w14:paraId="7C555DA0" w14:textId="77777777" w:rsidR="00FD1A75" w:rsidRPr="00FD1A75" w:rsidRDefault="00FD1A75" w:rsidP="00FD1A75">
            <w:pPr>
              <w:jc w:val="center"/>
              <w:rPr>
                <w:b/>
              </w:rPr>
            </w:pPr>
            <w:r w:rsidRPr="00FD1A75">
              <w:rPr>
                <w:b/>
              </w:rPr>
              <w:t>2019/20</w:t>
            </w:r>
          </w:p>
        </w:tc>
        <w:tc>
          <w:tcPr>
            <w:tcW w:w="361" w:type="pct"/>
            <w:shd w:val="clear" w:color="auto" w:fill="92D050"/>
          </w:tcPr>
          <w:p w14:paraId="71F5B7EF" w14:textId="77777777" w:rsidR="00FD1A75" w:rsidRPr="00066C43" w:rsidRDefault="00FD1A75" w:rsidP="00FD1A75">
            <w:pPr>
              <w:jc w:val="center"/>
            </w:pPr>
          </w:p>
        </w:tc>
      </w:tr>
      <w:tr w:rsidR="00FD1A75" w:rsidRPr="00FD1A75" w14:paraId="24326E32" w14:textId="77777777" w:rsidTr="00FD1A75">
        <w:tc>
          <w:tcPr>
            <w:tcW w:w="2133" w:type="pct"/>
            <w:shd w:val="clear" w:color="000000" w:fill="FFFFFF"/>
            <w:vAlign w:val="center"/>
          </w:tcPr>
          <w:p w14:paraId="26DFEE65"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Asian</w:t>
            </w:r>
          </w:p>
        </w:tc>
        <w:tc>
          <w:tcPr>
            <w:tcW w:w="1234" w:type="pct"/>
          </w:tcPr>
          <w:p w14:paraId="77C95741" w14:textId="77777777" w:rsidR="00FD1A75" w:rsidRPr="00FD1A75" w:rsidRDefault="00FD1A75" w:rsidP="00FD1A75">
            <w:pPr>
              <w:jc w:val="center"/>
            </w:pPr>
            <w:r w:rsidRPr="00FD1A75">
              <w:t>52%</w:t>
            </w:r>
          </w:p>
        </w:tc>
        <w:tc>
          <w:tcPr>
            <w:tcW w:w="1272" w:type="pct"/>
          </w:tcPr>
          <w:p w14:paraId="02254C28" w14:textId="77777777" w:rsidR="00FD1A75" w:rsidRPr="00FD1A75" w:rsidRDefault="00FD1A75" w:rsidP="00FD1A75">
            <w:pPr>
              <w:jc w:val="center"/>
            </w:pPr>
            <w:r w:rsidRPr="00FD1A75">
              <w:t>61%</w:t>
            </w:r>
          </w:p>
        </w:tc>
        <w:tc>
          <w:tcPr>
            <w:tcW w:w="361" w:type="pct"/>
          </w:tcPr>
          <w:p w14:paraId="6BE7519A" w14:textId="77777777" w:rsidR="00FD1A75" w:rsidRPr="00066C43" w:rsidRDefault="00FD1A75" w:rsidP="00FD1A75">
            <w:pPr>
              <w:jc w:val="center"/>
              <w:rPr>
                <w:i/>
              </w:rPr>
            </w:pPr>
            <w:r w:rsidRPr="00066C43">
              <w:rPr>
                <w:i/>
              </w:rPr>
              <w:t>↑</w:t>
            </w:r>
          </w:p>
        </w:tc>
      </w:tr>
      <w:tr w:rsidR="00FD1A75" w:rsidRPr="00FD1A75" w14:paraId="513C6B81" w14:textId="77777777" w:rsidTr="00FD1A75">
        <w:tc>
          <w:tcPr>
            <w:tcW w:w="2133" w:type="pct"/>
            <w:shd w:val="clear" w:color="000000" w:fill="FFFFFF"/>
            <w:vAlign w:val="center"/>
          </w:tcPr>
          <w:p w14:paraId="3DBA3846"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Black</w:t>
            </w:r>
          </w:p>
        </w:tc>
        <w:tc>
          <w:tcPr>
            <w:tcW w:w="1234" w:type="pct"/>
          </w:tcPr>
          <w:p w14:paraId="2C0DB38B" w14:textId="77777777" w:rsidR="00FD1A75" w:rsidRPr="00FD1A75" w:rsidRDefault="00FD1A75" w:rsidP="00FD1A75">
            <w:pPr>
              <w:jc w:val="center"/>
            </w:pPr>
            <w:r w:rsidRPr="00FD1A75">
              <w:t>54%</w:t>
            </w:r>
          </w:p>
        </w:tc>
        <w:tc>
          <w:tcPr>
            <w:tcW w:w="1272" w:type="pct"/>
          </w:tcPr>
          <w:p w14:paraId="24AD945E" w14:textId="77777777" w:rsidR="00FD1A75" w:rsidRPr="00FD1A75" w:rsidRDefault="00FD1A75" w:rsidP="00FD1A75">
            <w:pPr>
              <w:jc w:val="center"/>
            </w:pPr>
            <w:r w:rsidRPr="00FD1A75">
              <w:t>60%</w:t>
            </w:r>
          </w:p>
        </w:tc>
        <w:tc>
          <w:tcPr>
            <w:tcW w:w="361" w:type="pct"/>
          </w:tcPr>
          <w:p w14:paraId="3221AED2" w14:textId="77777777" w:rsidR="00FD1A75" w:rsidRPr="00066C43" w:rsidRDefault="00FD1A75" w:rsidP="00FD1A75">
            <w:pPr>
              <w:jc w:val="center"/>
              <w:rPr>
                <w:i/>
              </w:rPr>
            </w:pPr>
            <w:r w:rsidRPr="00066C43">
              <w:rPr>
                <w:i/>
              </w:rPr>
              <w:t>↑</w:t>
            </w:r>
          </w:p>
        </w:tc>
      </w:tr>
      <w:tr w:rsidR="00FD1A75" w:rsidRPr="00FD1A75" w14:paraId="653A2109" w14:textId="77777777" w:rsidTr="00FD1A75">
        <w:tc>
          <w:tcPr>
            <w:tcW w:w="2133" w:type="pct"/>
            <w:shd w:val="clear" w:color="000000" w:fill="FFFFFF"/>
            <w:vAlign w:val="center"/>
          </w:tcPr>
          <w:p w14:paraId="15F51D11"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lastRenderedPageBreak/>
              <w:t>Mixed</w:t>
            </w:r>
          </w:p>
        </w:tc>
        <w:tc>
          <w:tcPr>
            <w:tcW w:w="1234" w:type="pct"/>
          </w:tcPr>
          <w:p w14:paraId="7768C98C" w14:textId="77777777" w:rsidR="00FD1A75" w:rsidRPr="00FD1A75" w:rsidRDefault="00FD1A75" w:rsidP="00FD1A75">
            <w:pPr>
              <w:jc w:val="center"/>
            </w:pPr>
            <w:r w:rsidRPr="00FD1A75">
              <w:t>56%</w:t>
            </w:r>
          </w:p>
        </w:tc>
        <w:tc>
          <w:tcPr>
            <w:tcW w:w="1272" w:type="pct"/>
          </w:tcPr>
          <w:p w14:paraId="0A08FECB" w14:textId="77777777" w:rsidR="00FD1A75" w:rsidRPr="00FD1A75" w:rsidRDefault="00FD1A75" w:rsidP="00FD1A75">
            <w:pPr>
              <w:jc w:val="center"/>
            </w:pPr>
            <w:r w:rsidRPr="00FD1A75">
              <w:t>57%</w:t>
            </w:r>
          </w:p>
        </w:tc>
        <w:tc>
          <w:tcPr>
            <w:tcW w:w="361" w:type="pct"/>
          </w:tcPr>
          <w:p w14:paraId="162359D6" w14:textId="77777777" w:rsidR="00FD1A75" w:rsidRPr="00066C43" w:rsidRDefault="00FD1A75" w:rsidP="00FD1A75">
            <w:pPr>
              <w:jc w:val="center"/>
              <w:rPr>
                <w:i/>
              </w:rPr>
            </w:pPr>
            <w:r w:rsidRPr="00066C43">
              <w:rPr>
                <w:i/>
              </w:rPr>
              <w:t>↑</w:t>
            </w:r>
          </w:p>
        </w:tc>
      </w:tr>
      <w:tr w:rsidR="00FD1A75" w:rsidRPr="00FD1A75" w14:paraId="09439BA3" w14:textId="77777777" w:rsidTr="00FD1A75">
        <w:tc>
          <w:tcPr>
            <w:tcW w:w="2133" w:type="pct"/>
            <w:shd w:val="clear" w:color="000000" w:fill="FFFFFF"/>
            <w:vAlign w:val="center"/>
          </w:tcPr>
          <w:p w14:paraId="02123C40"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Other</w:t>
            </w:r>
          </w:p>
        </w:tc>
        <w:tc>
          <w:tcPr>
            <w:tcW w:w="1234" w:type="pct"/>
          </w:tcPr>
          <w:p w14:paraId="109E1EE5" w14:textId="77777777" w:rsidR="00FD1A75" w:rsidRPr="00FD1A75" w:rsidRDefault="00FD1A75" w:rsidP="00FD1A75">
            <w:pPr>
              <w:jc w:val="center"/>
            </w:pPr>
            <w:r w:rsidRPr="00FD1A75">
              <w:t>49%</w:t>
            </w:r>
          </w:p>
        </w:tc>
        <w:tc>
          <w:tcPr>
            <w:tcW w:w="1272" w:type="pct"/>
          </w:tcPr>
          <w:p w14:paraId="1D140127" w14:textId="77777777" w:rsidR="00FD1A75" w:rsidRPr="00FD1A75" w:rsidRDefault="00FD1A75" w:rsidP="00FD1A75">
            <w:pPr>
              <w:jc w:val="center"/>
            </w:pPr>
            <w:r w:rsidRPr="00FD1A75">
              <w:t>62%</w:t>
            </w:r>
          </w:p>
        </w:tc>
        <w:tc>
          <w:tcPr>
            <w:tcW w:w="361" w:type="pct"/>
          </w:tcPr>
          <w:p w14:paraId="237CE400" w14:textId="77777777" w:rsidR="00FD1A75" w:rsidRPr="00066C43" w:rsidRDefault="00FD1A75" w:rsidP="00FD1A75">
            <w:pPr>
              <w:jc w:val="center"/>
              <w:rPr>
                <w:i/>
              </w:rPr>
            </w:pPr>
            <w:r w:rsidRPr="00066C43">
              <w:rPr>
                <w:i/>
              </w:rPr>
              <w:t>↑</w:t>
            </w:r>
          </w:p>
        </w:tc>
      </w:tr>
      <w:tr w:rsidR="00FD1A75" w:rsidRPr="00FD1A75" w14:paraId="2E30BF15" w14:textId="77777777" w:rsidTr="00FD1A75">
        <w:tc>
          <w:tcPr>
            <w:tcW w:w="2133" w:type="pct"/>
            <w:tcBorders>
              <w:bottom w:val="single" w:sz="12" w:space="0" w:color="auto"/>
            </w:tcBorders>
            <w:shd w:val="clear" w:color="000000" w:fill="FFFFFF"/>
            <w:vAlign w:val="center"/>
          </w:tcPr>
          <w:p w14:paraId="01B66235" w14:textId="77777777" w:rsidR="00FD1A75" w:rsidRPr="00FD1A75" w:rsidRDefault="00FD1A75" w:rsidP="00FD1A75">
            <w:pPr>
              <w:rPr>
                <w:rFonts w:ascii="Calibri" w:eastAsia="Times New Roman" w:hAnsi="Calibri" w:cs="Calibri"/>
                <w:color w:val="000000"/>
                <w:lang w:eastAsia="en-GB"/>
              </w:rPr>
            </w:pPr>
            <w:r w:rsidRPr="00FD1A75">
              <w:rPr>
                <w:rFonts w:ascii="Calibri" w:eastAsia="Times New Roman" w:hAnsi="Calibri" w:cs="Calibri"/>
                <w:color w:val="000000"/>
                <w:lang w:eastAsia="en-GB"/>
              </w:rPr>
              <w:t>White</w:t>
            </w:r>
          </w:p>
        </w:tc>
        <w:tc>
          <w:tcPr>
            <w:tcW w:w="1234" w:type="pct"/>
            <w:tcBorders>
              <w:bottom w:val="single" w:sz="12" w:space="0" w:color="auto"/>
            </w:tcBorders>
          </w:tcPr>
          <w:p w14:paraId="4CE24240" w14:textId="77777777" w:rsidR="00FD1A75" w:rsidRPr="00FD1A75" w:rsidRDefault="00FD1A75" w:rsidP="00FD1A75">
            <w:pPr>
              <w:jc w:val="center"/>
            </w:pPr>
            <w:r w:rsidRPr="00FD1A75">
              <w:t>54%</w:t>
            </w:r>
          </w:p>
        </w:tc>
        <w:tc>
          <w:tcPr>
            <w:tcW w:w="1272" w:type="pct"/>
            <w:tcBorders>
              <w:bottom w:val="single" w:sz="12" w:space="0" w:color="auto"/>
            </w:tcBorders>
          </w:tcPr>
          <w:p w14:paraId="1F147788" w14:textId="77777777" w:rsidR="00FD1A75" w:rsidRPr="00FD1A75" w:rsidRDefault="00FD1A75" w:rsidP="00FD1A75">
            <w:pPr>
              <w:jc w:val="center"/>
            </w:pPr>
            <w:r w:rsidRPr="00FD1A75">
              <w:t>58%</w:t>
            </w:r>
          </w:p>
        </w:tc>
        <w:tc>
          <w:tcPr>
            <w:tcW w:w="361" w:type="pct"/>
            <w:tcBorders>
              <w:bottom w:val="single" w:sz="12" w:space="0" w:color="auto"/>
            </w:tcBorders>
          </w:tcPr>
          <w:p w14:paraId="6F3A648F" w14:textId="77777777" w:rsidR="00FD1A75" w:rsidRPr="00066C43" w:rsidRDefault="00FD1A75" w:rsidP="00FD1A75">
            <w:pPr>
              <w:jc w:val="center"/>
              <w:rPr>
                <w:i/>
              </w:rPr>
            </w:pPr>
            <w:r w:rsidRPr="00066C43">
              <w:rPr>
                <w:i/>
              </w:rPr>
              <w:t>↑</w:t>
            </w:r>
          </w:p>
        </w:tc>
      </w:tr>
      <w:tr w:rsidR="00FD1A75" w:rsidRPr="00FD1A75" w14:paraId="41774EAF" w14:textId="77777777" w:rsidTr="00FD1A75">
        <w:tc>
          <w:tcPr>
            <w:tcW w:w="2133" w:type="pct"/>
            <w:tcBorders>
              <w:top w:val="single" w:sz="12" w:space="0" w:color="auto"/>
            </w:tcBorders>
          </w:tcPr>
          <w:p w14:paraId="1F1F494B" w14:textId="77777777" w:rsidR="00FD1A75" w:rsidRPr="00FD1A75" w:rsidRDefault="00FD1A75" w:rsidP="00FD1A75">
            <w:r w:rsidRPr="00FD1A75">
              <w:t>Female</w:t>
            </w:r>
          </w:p>
        </w:tc>
        <w:tc>
          <w:tcPr>
            <w:tcW w:w="1234" w:type="pct"/>
            <w:tcBorders>
              <w:top w:val="single" w:sz="12" w:space="0" w:color="auto"/>
            </w:tcBorders>
          </w:tcPr>
          <w:p w14:paraId="0E4B92B9" w14:textId="77777777" w:rsidR="00FD1A75" w:rsidRPr="00FD1A75" w:rsidRDefault="00FD1A75" w:rsidP="00FD1A75">
            <w:pPr>
              <w:jc w:val="center"/>
            </w:pPr>
            <w:r w:rsidRPr="00FD1A75">
              <w:t>48%</w:t>
            </w:r>
          </w:p>
        </w:tc>
        <w:tc>
          <w:tcPr>
            <w:tcW w:w="1272" w:type="pct"/>
            <w:tcBorders>
              <w:top w:val="single" w:sz="12" w:space="0" w:color="auto"/>
            </w:tcBorders>
          </w:tcPr>
          <w:p w14:paraId="044879D5" w14:textId="77777777" w:rsidR="00FD1A75" w:rsidRPr="00FD1A75" w:rsidRDefault="00FD1A75" w:rsidP="00FD1A75">
            <w:pPr>
              <w:jc w:val="center"/>
            </w:pPr>
            <w:r w:rsidRPr="00FD1A75">
              <w:t>55%</w:t>
            </w:r>
          </w:p>
        </w:tc>
        <w:tc>
          <w:tcPr>
            <w:tcW w:w="361" w:type="pct"/>
            <w:tcBorders>
              <w:top w:val="single" w:sz="12" w:space="0" w:color="auto"/>
            </w:tcBorders>
          </w:tcPr>
          <w:p w14:paraId="6B76A3D0" w14:textId="77777777" w:rsidR="00FD1A75" w:rsidRPr="00066C43" w:rsidRDefault="00FD1A75" w:rsidP="00FD1A75">
            <w:pPr>
              <w:jc w:val="center"/>
              <w:rPr>
                <w:i/>
              </w:rPr>
            </w:pPr>
            <w:r w:rsidRPr="00066C43">
              <w:rPr>
                <w:i/>
              </w:rPr>
              <w:t>↑</w:t>
            </w:r>
          </w:p>
        </w:tc>
      </w:tr>
      <w:tr w:rsidR="00FD1A75" w:rsidRPr="00FD1A75" w14:paraId="463800D9" w14:textId="77777777" w:rsidTr="00FD1A75">
        <w:tc>
          <w:tcPr>
            <w:tcW w:w="2133" w:type="pct"/>
          </w:tcPr>
          <w:p w14:paraId="19126D9D" w14:textId="77777777" w:rsidR="00FD1A75" w:rsidRPr="00FD1A75" w:rsidRDefault="00FD1A75" w:rsidP="00FD1A75">
            <w:r w:rsidRPr="00FD1A75">
              <w:t>Male</w:t>
            </w:r>
          </w:p>
        </w:tc>
        <w:tc>
          <w:tcPr>
            <w:tcW w:w="1234" w:type="pct"/>
          </w:tcPr>
          <w:p w14:paraId="7303D1EF" w14:textId="77777777" w:rsidR="00FD1A75" w:rsidRPr="00FD1A75" w:rsidRDefault="00FD1A75" w:rsidP="00FD1A75">
            <w:pPr>
              <w:jc w:val="center"/>
            </w:pPr>
            <w:r w:rsidRPr="00FD1A75">
              <w:t>47%</w:t>
            </w:r>
          </w:p>
        </w:tc>
        <w:tc>
          <w:tcPr>
            <w:tcW w:w="1272" w:type="pct"/>
          </w:tcPr>
          <w:p w14:paraId="7499BCFA" w14:textId="77777777" w:rsidR="00FD1A75" w:rsidRPr="00FD1A75" w:rsidRDefault="00FD1A75" w:rsidP="00FD1A75">
            <w:pPr>
              <w:jc w:val="center"/>
            </w:pPr>
            <w:r w:rsidRPr="00FD1A75">
              <w:t>57%</w:t>
            </w:r>
          </w:p>
        </w:tc>
        <w:tc>
          <w:tcPr>
            <w:tcW w:w="361" w:type="pct"/>
          </w:tcPr>
          <w:p w14:paraId="48F3A61A" w14:textId="77777777" w:rsidR="00FD1A75" w:rsidRPr="00066C43" w:rsidRDefault="00FD1A75" w:rsidP="00FD1A75">
            <w:pPr>
              <w:jc w:val="center"/>
              <w:rPr>
                <w:i/>
              </w:rPr>
            </w:pPr>
            <w:r w:rsidRPr="00066C43">
              <w:rPr>
                <w:i/>
              </w:rPr>
              <w:t>↑</w:t>
            </w:r>
          </w:p>
        </w:tc>
      </w:tr>
    </w:tbl>
    <w:p w14:paraId="6D8550A8" w14:textId="77777777" w:rsidR="00FD1A75" w:rsidRPr="00FD1A75" w:rsidRDefault="00FD1A75" w:rsidP="00FD1A75"/>
    <w:p w14:paraId="30B88ADA" w14:textId="77F6327B" w:rsidR="00FE608E" w:rsidRPr="00601782" w:rsidRDefault="00D970C8" w:rsidP="00FE608E">
      <w:pPr>
        <w:pStyle w:val="Heading2"/>
        <w:numPr>
          <w:ilvl w:val="1"/>
          <w:numId w:val="4"/>
        </w:numPr>
      </w:pPr>
      <w:bookmarkStart w:id="146" w:name="_Toc55219275"/>
      <w:bookmarkStart w:id="147" w:name="_Toc55573551"/>
      <w:bookmarkStart w:id="148" w:name="_Toc57023249"/>
      <w:bookmarkStart w:id="149" w:name="_Toc63432764"/>
      <w:r w:rsidRPr="00FD1A75">
        <w:t xml:space="preserve">Student </w:t>
      </w:r>
      <w:r>
        <w:t>Degree Attainment</w:t>
      </w:r>
      <w:bookmarkEnd w:id="146"/>
      <w:bookmarkEnd w:id="147"/>
      <w:bookmarkEnd w:id="148"/>
      <w:bookmarkEnd w:id="149"/>
    </w:p>
    <w:tbl>
      <w:tblPr>
        <w:tblStyle w:val="TableGrid"/>
        <w:tblW w:w="5000" w:type="pct"/>
        <w:tblLook w:val="04A0" w:firstRow="1" w:lastRow="0" w:firstColumn="1" w:lastColumn="0" w:noHBand="0" w:noVBand="1"/>
      </w:tblPr>
      <w:tblGrid>
        <w:gridCol w:w="3086"/>
        <w:gridCol w:w="1785"/>
        <w:gridCol w:w="1785"/>
        <w:gridCol w:w="1839"/>
        <w:gridCol w:w="521"/>
      </w:tblGrid>
      <w:tr w:rsidR="00D970C8" w:rsidRPr="00FD1A75" w14:paraId="540AF7CD" w14:textId="77777777" w:rsidTr="00D970C8">
        <w:tc>
          <w:tcPr>
            <w:tcW w:w="1711" w:type="pct"/>
            <w:shd w:val="clear" w:color="auto" w:fill="92D050"/>
          </w:tcPr>
          <w:p w14:paraId="3B558471" w14:textId="77777777" w:rsidR="00D970C8" w:rsidRPr="00FD1A75" w:rsidRDefault="00D970C8" w:rsidP="0069602F">
            <w:pPr>
              <w:rPr>
                <w:b/>
              </w:rPr>
            </w:pPr>
          </w:p>
        </w:tc>
        <w:tc>
          <w:tcPr>
            <w:tcW w:w="990" w:type="pct"/>
            <w:shd w:val="clear" w:color="auto" w:fill="92D050"/>
          </w:tcPr>
          <w:p w14:paraId="5AC6BEE9" w14:textId="77777777" w:rsidR="00D970C8" w:rsidRPr="00FD1A75" w:rsidRDefault="00D970C8" w:rsidP="0069602F">
            <w:pPr>
              <w:jc w:val="center"/>
              <w:rPr>
                <w:b/>
              </w:rPr>
            </w:pPr>
            <w:r>
              <w:rPr>
                <w:b/>
              </w:rPr>
              <w:t>2017/18</w:t>
            </w:r>
          </w:p>
        </w:tc>
        <w:tc>
          <w:tcPr>
            <w:tcW w:w="990" w:type="pct"/>
            <w:shd w:val="clear" w:color="auto" w:fill="92D050"/>
          </w:tcPr>
          <w:p w14:paraId="1596E503" w14:textId="77777777" w:rsidR="00D970C8" w:rsidRPr="00FD1A75" w:rsidRDefault="00D970C8" w:rsidP="0069602F">
            <w:pPr>
              <w:jc w:val="center"/>
              <w:rPr>
                <w:b/>
              </w:rPr>
            </w:pPr>
            <w:r w:rsidRPr="00FD1A75">
              <w:rPr>
                <w:b/>
              </w:rPr>
              <w:t>2018/19</w:t>
            </w:r>
          </w:p>
        </w:tc>
        <w:tc>
          <w:tcPr>
            <w:tcW w:w="1020" w:type="pct"/>
            <w:shd w:val="clear" w:color="auto" w:fill="92D050"/>
          </w:tcPr>
          <w:p w14:paraId="58DC5AF0" w14:textId="77777777" w:rsidR="00D970C8" w:rsidRPr="00FD1A75" w:rsidRDefault="00D970C8" w:rsidP="0069602F">
            <w:pPr>
              <w:jc w:val="center"/>
              <w:rPr>
                <w:b/>
              </w:rPr>
            </w:pPr>
            <w:r w:rsidRPr="00FD1A75">
              <w:rPr>
                <w:b/>
              </w:rPr>
              <w:t>2019/20</w:t>
            </w:r>
          </w:p>
        </w:tc>
        <w:tc>
          <w:tcPr>
            <w:tcW w:w="289" w:type="pct"/>
            <w:shd w:val="clear" w:color="auto" w:fill="92D050"/>
          </w:tcPr>
          <w:p w14:paraId="18998188" w14:textId="77777777" w:rsidR="00D970C8" w:rsidRPr="00066C43" w:rsidRDefault="00D970C8" w:rsidP="0069602F">
            <w:pPr>
              <w:jc w:val="center"/>
            </w:pPr>
          </w:p>
        </w:tc>
      </w:tr>
      <w:tr w:rsidR="005A42BB" w:rsidRPr="00FD1A75" w14:paraId="033D9F06" w14:textId="77777777" w:rsidTr="00792C4D">
        <w:tc>
          <w:tcPr>
            <w:tcW w:w="1711" w:type="pct"/>
            <w:shd w:val="clear" w:color="000000" w:fill="FFFFFF"/>
            <w:vAlign w:val="center"/>
          </w:tcPr>
          <w:p w14:paraId="43D1528F" w14:textId="77777777" w:rsidR="005A42BB" w:rsidRPr="00FD1A75" w:rsidRDefault="005A42BB" w:rsidP="005A42BB">
            <w:pPr>
              <w:rPr>
                <w:rFonts w:ascii="Calibri" w:eastAsia="Times New Roman" w:hAnsi="Calibri" w:cs="Calibri"/>
                <w:color w:val="000000"/>
                <w:lang w:eastAsia="en-GB"/>
              </w:rPr>
            </w:pPr>
            <w:r>
              <w:rPr>
                <w:rFonts w:ascii="Calibri" w:eastAsia="Times New Roman" w:hAnsi="Calibri" w:cs="Calibri"/>
                <w:color w:val="000000"/>
                <w:lang w:eastAsia="en-GB"/>
              </w:rPr>
              <w:t>White</w:t>
            </w:r>
          </w:p>
        </w:tc>
        <w:tc>
          <w:tcPr>
            <w:tcW w:w="990" w:type="pct"/>
          </w:tcPr>
          <w:p w14:paraId="5058FEAE" w14:textId="77777777" w:rsidR="005A42BB" w:rsidRPr="00FD1A75" w:rsidRDefault="005A42BB" w:rsidP="005A42BB">
            <w:pPr>
              <w:jc w:val="center"/>
            </w:pPr>
            <w:r>
              <w:t>88%</w:t>
            </w:r>
          </w:p>
        </w:tc>
        <w:tc>
          <w:tcPr>
            <w:tcW w:w="990" w:type="pct"/>
          </w:tcPr>
          <w:p w14:paraId="012F4509" w14:textId="77777777" w:rsidR="005A42BB" w:rsidRPr="00FD1A75" w:rsidRDefault="005A42BB" w:rsidP="005A42BB">
            <w:pPr>
              <w:jc w:val="center"/>
            </w:pPr>
            <w:r>
              <w:t>86%</w:t>
            </w:r>
          </w:p>
        </w:tc>
        <w:tc>
          <w:tcPr>
            <w:tcW w:w="1020" w:type="pct"/>
            <w:tcBorders>
              <w:top w:val="nil"/>
              <w:left w:val="nil"/>
              <w:bottom w:val="single" w:sz="8" w:space="0" w:color="auto"/>
              <w:right w:val="single" w:sz="8" w:space="0" w:color="auto"/>
            </w:tcBorders>
            <w:shd w:val="clear" w:color="auto" w:fill="auto"/>
          </w:tcPr>
          <w:p w14:paraId="0D782C5C" w14:textId="5FD7DA40" w:rsidR="005A42BB" w:rsidRPr="00FD1A75" w:rsidRDefault="005A42BB" w:rsidP="005A42BB">
            <w:pPr>
              <w:jc w:val="center"/>
            </w:pPr>
            <w:r>
              <w:t>90%</w:t>
            </w:r>
          </w:p>
        </w:tc>
        <w:tc>
          <w:tcPr>
            <w:tcW w:w="289" w:type="pct"/>
          </w:tcPr>
          <w:p w14:paraId="564A80D7" w14:textId="6BDB29B0" w:rsidR="005A42BB" w:rsidRPr="00066C43" w:rsidRDefault="005A42BB" w:rsidP="005A42BB">
            <w:pPr>
              <w:jc w:val="center"/>
              <w:rPr>
                <w:i/>
                <w:color w:val="00B050"/>
              </w:rPr>
            </w:pPr>
            <w:r w:rsidRPr="00066C43">
              <w:t>↑</w:t>
            </w:r>
          </w:p>
        </w:tc>
      </w:tr>
      <w:tr w:rsidR="005A42BB" w:rsidRPr="00FD1A75" w14:paraId="6420B05E" w14:textId="77777777" w:rsidTr="00792C4D">
        <w:tc>
          <w:tcPr>
            <w:tcW w:w="1711" w:type="pct"/>
            <w:tcBorders>
              <w:bottom w:val="single" w:sz="12" w:space="0" w:color="auto"/>
            </w:tcBorders>
            <w:shd w:val="clear" w:color="000000" w:fill="FFFFFF"/>
            <w:vAlign w:val="center"/>
          </w:tcPr>
          <w:p w14:paraId="6E0A5BFB" w14:textId="2514BCED" w:rsidR="005A42BB" w:rsidRPr="00FD1A75" w:rsidRDefault="00B8192F" w:rsidP="005A42BB">
            <w:pPr>
              <w:rPr>
                <w:rFonts w:ascii="Calibri" w:eastAsia="Times New Roman" w:hAnsi="Calibri" w:cs="Calibri"/>
                <w:color w:val="000000"/>
                <w:lang w:eastAsia="en-GB"/>
              </w:rPr>
            </w:pPr>
            <w:r w:rsidRPr="00B8192F">
              <w:rPr>
                <w:rFonts w:ascii="Calibri" w:eastAsia="Times New Roman" w:hAnsi="Calibri" w:cs="Calibri"/>
                <w:color w:val="000000"/>
                <w:lang w:eastAsia="en-GB"/>
              </w:rPr>
              <w:t>People of Colour</w:t>
            </w:r>
          </w:p>
        </w:tc>
        <w:tc>
          <w:tcPr>
            <w:tcW w:w="990" w:type="pct"/>
            <w:tcBorders>
              <w:bottom w:val="single" w:sz="12" w:space="0" w:color="auto"/>
            </w:tcBorders>
          </w:tcPr>
          <w:p w14:paraId="1E778BDF" w14:textId="77777777" w:rsidR="005A42BB" w:rsidRPr="00FD1A75" w:rsidRDefault="005A42BB" w:rsidP="005A42BB">
            <w:pPr>
              <w:jc w:val="center"/>
            </w:pPr>
            <w:r>
              <w:t>70%</w:t>
            </w:r>
          </w:p>
        </w:tc>
        <w:tc>
          <w:tcPr>
            <w:tcW w:w="990" w:type="pct"/>
            <w:tcBorders>
              <w:bottom w:val="single" w:sz="12" w:space="0" w:color="auto"/>
            </w:tcBorders>
          </w:tcPr>
          <w:p w14:paraId="6B3DB2C4" w14:textId="77777777" w:rsidR="005A42BB" w:rsidRPr="00FD1A75" w:rsidRDefault="005A42BB" w:rsidP="005A42BB">
            <w:pPr>
              <w:jc w:val="center"/>
            </w:pPr>
            <w:r>
              <w:t>70%</w:t>
            </w:r>
          </w:p>
        </w:tc>
        <w:tc>
          <w:tcPr>
            <w:tcW w:w="1020" w:type="pct"/>
            <w:tcBorders>
              <w:top w:val="nil"/>
              <w:left w:val="nil"/>
              <w:bottom w:val="single" w:sz="12" w:space="0" w:color="auto"/>
              <w:right w:val="single" w:sz="8" w:space="0" w:color="auto"/>
            </w:tcBorders>
            <w:shd w:val="clear" w:color="auto" w:fill="auto"/>
          </w:tcPr>
          <w:p w14:paraId="38FFF15B" w14:textId="76DCB8F7" w:rsidR="005A42BB" w:rsidRPr="00FD1A75" w:rsidRDefault="005A42BB" w:rsidP="005A42BB">
            <w:pPr>
              <w:jc w:val="center"/>
            </w:pPr>
            <w:r>
              <w:t>78%</w:t>
            </w:r>
          </w:p>
        </w:tc>
        <w:tc>
          <w:tcPr>
            <w:tcW w:w="289" w:type="pct"/>
            <w:tcBorders>
              <w:bottom w:val="single" w:sz="12" w:space="0" w:color="auto"/>
            </w:tcBorders>
          </w:tcPr>
          <w:p w14:paraId="4DDAF61E" w14:textId="51DB249F" w:rsidR="005A42BB" w:rsidRPr="00066C43" w:rsidRDefault="005A42BB" w:rsidP="005A42BB">
            <w:pPr>
              <w:jc w:val="center"/>
              <w:rPr>
                <w:i/>
                <w:color w:val="00B050"/>
              </w:rPr>
            </w:pPr>
            <w:r w:rsidRPr="00066C43">
              <w:t>↑</w:t>
            </w:r>
          </w:p>
        </w:tc>
      </w:tr>
      <w:tr w:rsidR="005A42BB" w:rsidRPr="00FD1A75" w14:paraId="35CBA393" w14:textId="77777777" w:rsidTr="00792C4D">
        <w:tc>
          <w:tcPr>
            <w:tcW w:w="1711" w:type="pct"/>
            <w:tcBorders>
              <w:top w:val="single" w:sz="12" w:space="0" w:color="auto"/>
            </w:tcBorders>
            <w:shd w:val="clear" w:color="000000" w:fill="FFFFFF"/>
            <w:vAlign w:val="center"/>
          </w:tcPr>
          <w:p w14:paraId="551AED53" w14:textId="77777777" w:rsidR="005A42BB" w:rsidRPr="00FD1A75" w:rsidRDefault="005A42BB" w:rsidP="005A42BB">
            <w:pPr>
              <w:rPr>
                <w:rFonts w:ascii="Calibri" w:eastAsia="Times New Roman" w:hAnsi="Calibri" w:cs="Calibri"/>
                <w:color w:val="000000"/>
                <w:lang w:eastAsia="en-GB"/>
              </w:rPr>
            </w:pPr>
            <w:r>
              <w:rPr>
                <w:rFonts w:ascii="Calibri" w:eastAsia="Times New Roman" w:hAnsi="Calibri" w:cs="Calibri"/>
                <w:color w:val="000000"/>
                <w:lang w:eastAsia="en-GB"/>
              </w:rPr>
              <w:t>Disabled</w:t>
            </w:r>
          </w:p>
        </w:tc>
        <w:tc>
          <w:tcPr>
            <w:tcW w:w="990" w:type="pct"/>
            <w:tcBorders>
              <w:top w:val="single" w:sz="12" w:space="0" w:color="auto"/>
            </w:tcBorders>
          </w:tcPr>
          <w:p w14:paraId="050F6791" w14:textId="77777777" w:rsidR="005A42BB" w:rsidRPr="00FD1A75" w:rsidRDefault="005A42BB" w:rsidP="005A42BB">
            <w:pPr>
              <w:jc w:val="center"/>
            </w:pPr>
            <w:r>
              <w:t>82%</w:t>
            </w:r>
          </w:p>
        </w:tc>
        <w:tc>
          <w:tcPr>
            <w:tcW w:w="990" w:type="pct"/>
            <w:tcBorders>
              <w:top w:val="single" w:sz="12" w:space="0" w:color="auto"/>
            </w:tcBorders>
          </w:tcPr>
          <w:p w14:paraId="3B04D40F" w14:textId="77777777" w:rsidR="005A42BB" w:rsidRPr="00FD1A75" w:rsidRDefault="005A42BB" w:rsidP="005A42BB">
            <w:pPr>
              <w:jc w:val="center"/>
            </w:pPr>
            <w:r>
              <w:t>79%</w:t>
            </w:r>
          </w:p>
        </w:tc>
        <w:tc>
          <w:tcPr>
            <w:tcW w:w="1020" w:type="pct"/>
            <w:tcBorders>
              <w:top w:val="nil"/>
              <w:left w:val="nil"/>
              <w:bottom w:val="single" w:sz="8" w:space="0" w:color="auto"/>
              <w:right w:val="single" w:sz="8" w:space="0" w:color="auto"/>
            </w:tcBorders>
            <w:shd w:val="clear" w:color="auto" w:fill="auto"/>
          </w:tcPr>
          <w:p w14:paraId="434807A2" w14:textId="0CB0D545" w:rsidR="005A42BB" w:rsidRPr="00FD1A75" w:rsidRDefault="005A42BB" w:rsidP="005A42BB">
            <w:pPr>
              <w:jc w:val="center"/>
            </w:pPr>
            <w:r>
              <w:t>86%</w:t>
            </w:r>
          </w:p>
        </w:tc>
        <w:tc>
          <w:tcPr>
            <w:tcW w:w="289" w:type="pct"/>
            <w:tcBorders>
              <w:top w:val="single" w:sz="12" w:space="0" w:color="auto"/>
            </w:tcBorders>
          </w:tcPr>
          <w:p w14:paraId="3D59B6EE" w14:textId="5F18BFF3" w:rsidR="005A42BB" w:rsidRPr="00066C43" w:rsidRDefault="005A42BB" w:rsidP="005A42BB">
            <w:pPr>
              <w:jc w:val="center"/>
              <w:rPr>
                <w:i/>
                <w:color w:val="00B050"/>
              </w:rPr>
            </w:pPr>
            <w:r w:rsidRPr="00066C43">
              <w:t>↑</w:t>
            </w:r>
          </w:p>
        </w:tc>
      </w:tr>
      <w:tr w:rsidR="005A42BB" w:rsidRPr="00FD1A75" w14:paraId="3AF63464" w14:textId="77777777" w:rsidTr="00792C4D">
        <w:tc>
          <w:tcPr>
            <w:tcW w:w="1711" w:type="pct"/>
            <w:shd w:val="clear" w:color="000000" w:fill="FFFFFF"/>
            <w:vAlign w:val="center"/>
          </w:tcPr>
          <w:p w14:paraId="604F1372" w14:textId="77777777" w:rsidR="005A42BB" w:rsidRPr="00FD1A75" w:rsidRDefault="005A42BB" w:rsidP="005A42BB">
            <w:pPr>
              <w:rPr>
                <w:rFonts w:ascii="Calibri" w:eastAsia="Times New Roman" w:hAnsi="Calibri" w:cs="Calibri"/>
                <w:color w:val="000000"/>
                <w:lang w:eastAsia="en-GB"/>
              </w:rPr>
            </w:pPr>
            <w:r>
              <w:rPr>
                <w:rFonts w:ascii="Calibri" w:eastAsia="Times New Roman" w:hAnsi="Calibri" w:cs="Calibri"/>
                <w:color w:val="000000"/>
                <w:lang w:eastAsia="en-GB"/>
              </w:rPr>
              <w:t>No Disability</w:t>
            </w:r>
          </w:p>
        </w:tc>
        <w:tc>
          <w:tcPr>
            <w:tcW w:w="990" w:type="pct"/>
          </w:tcPr>
          <w:p w14:paraId="54A9DC79" w14:textId="77777777" w:rsidR="005A42BB" w:rsidRPr="00FD1A75" w:rsidRDefault="005A42BB" w:rsidP="005A42BB">
            <w:pPr>
              <w:jc w:val="center"/>
            </w:pPr>
            <w:r>
              <w:t>77%</w:t>
            </w:r>
          </w:p>
        </w:tc>
        <w:tc>
          <w:tcPr>
            <w:tcW w:w="990" w:type="pct"/>
          </w:tcPr>
          <w:p w14:paraId="137BE28E" w14:textId="77777777" w:rsidR="005A42BB" w:rsidRPr="00FD1A75" w:rsidRDefault="005A42BB" w:rsidP="005A42BB">
            <w:pPr>
              <w:jc w:val="center"/>
            </w:pPr>
            <w:r>
              <w:t>76%</w:t>
            </w:r>
          </w:p>
        </w:tc>
        <w:tc>
          <w:tcPr>
            <w:tcW w:w="1020" w:type="pct"/>
            <w:tcBorders>
              <w:top w:val="nil"/>
              <w:left w:val="nil"/>
              <w:bottom w:val="single" w:sz="12" w:space="0" w:color="auto"/>
              <w:right w:val="single" w:sz="8" w:space="0" w:color="auto"/>
            </w:tcBorders>
            <w:shd w:val="clear" w:color="auto" w:fill="auto"/>
          </w:tcPr>
          <w:p w14:paraId="12AF17D6" w14:textId="08963ADF" w:rsidR="005A42BB" w:rsidRPr="00FD1A75" w:rsidRDefault="005A42BB" w:rsidP="005A42BB">
            <w:pPr>
              <w:jc w:val="center"/>
            </w:pPr>
            <w:r>
              <w:t>85%</w:t>
            </w:r>
          </w:p>
        </w:tc>
        <w:tc>
          <w:tcPr>
            <w:tcW w:w="289" w:type="pct"/>
          </w:tcPr>
          <w:p w14:paraId="623233B3" w14:textId="5388C576" w:rsidR="005A42BB" w:rsidRPr="00066C43" w:rsidRDefault="005A42BB" w:rsidP="005A42BB">
            <w:pPr>
              <w:jc w:val="center"/>
              <w:rPr>
                <w:i/>
                <w:color w:val="00B050"/>
              </w:rPr>
            </w:pPr>
            <w:r w:rsidRPr="00066C43">
              <w:t>↑</w:t>
            </w:r>
          </w:p>
        </w:tc>
      </w:tr>
      <w:tr w:rsidR="005A42BB" w:rsidRPr="00FD1A75" w14:paraId="1E3023E6" w14:textId="77777777" w:rsidTr="00792C4D">
        <w:tc>
          <w:tcPr>
            <w:tcW w:w="1711" w:type="pct"/>
            <w:tcBorders>
              <w:top w:val="single" w:sz="12" w:space="0" w:color="auto"/>
            </w:tcBorders>
          </w:tcPr>
          <w:p w14:paraId="1244BC6B" w14:textId="77777777" w:rsidR="005A42BB" w:rsidRPr="00FD1A75" w:rsidRDefault="005A42BB" w:rsidP="005A42BB">
            <w:r w:rsidRPr="00FD1A75">
              <w:t>Female</w:t>
            </w:r>
          </w:p>
        </w:tc>
        <w:tc>
          <w:tcPr>
            <w:tcW w:w="990" w:type="pct"/>
            <w:tcBorders>
              <w:top w:val="single" w:sz="12" w:space="0" w:color="auto"/>
            </w:tcBorders>
          </w:tcPr>
          <w:p w14:paraId="71FD1169" w14:textId="77777777" w:rsidR="005A42BB" w:rsidRPr="00FD1A75" w:rsidRDefault="005A42BB" w:rsidP="005A42BB">
            <w:pPr>
              <w:jc w:val="center"/>
            </w:pPr>
            <w:r>
              <w:t>82%</w:t>
            </w:r>
          </w:p>
        </w:tc>
        <w:tc>
          <w:tcPr>
            <w:tcW w:w="990" w:type="pct"/>
            <w:tcBorders>
              <w:top w:val="single" w:sz="12" w:space="0" w:color="auto"/>
            </w:tcBorders>
          </w:tcPr>
          <w:p w14:paraId="1491E05C" w14:textId="77777777" w:rsidR="005A42BB" w:rsidRPr="00FD1A75" w:rsidRDefault="005A42BB" w:rsidP="005A42BB">
            <w:pPr>
              <w:jc w:val="center"/>
            </w:pPr>
            <w:r>
              <w:t>80%</w:t>
            </w:r>
          </w:p>
        </w:tc>
        <w:tc>
          <w:tcPr>
            <w:tcW w:w="1020" w:type="pct"/>
            <w:tcBorders>
              <w:top w:val="single" w:sz="12" w:space="0" w:color="auto"/>
              <w:left w:val="nil"/>
              <w:bottom w:val="single" w:sz="8" w:space="0" w:color="auto"/>
              <w:right w:val="single" w:sz="8" w:space="0" w:color="auto"/>
            </w:tcBorders>
            <w:shd w:val="clear" w:color="auto" w:fill="auto"/>
          </w:tcPr>
          <w:p w14:paraId="3B58DC99" w14:textId="4AEC9E00" w:rsidR="005A42BB" w:rsidRPr="00FD1A75" w:rsidRDefault="005A42BB" w:rsidP="005A42BB">
            <w:pPr>
              <w:jc w:val="center"/>
            </w:pPr>
            <w:r>
              <w:t>88%</w:t>
            </w:r>
          </w:p>
        </w:tc>
        <w:tc>
          <w:tcPr>
            <w:tcW w:w="289" w:type="pct"/>
            <w:tcBorders>
              <w:top w:val="single" w:sz="12" w:space="0" w:color="auto"/>
            </w:tcBorders>
          </w:tcPr>
          <w:p w14:paraId="5B13B5BE" w14:textId="410C2732" w:rsidR="005A42BB" w:rsidRPr="00066C43" w:rsidRDefault="005A42BB" w:rsidP="005A42BB">
            <w:pPr>
              <w:jc w:val="center"/>
              <w:rPr>
                <w:i/>
                <w:color w:val="00B050"/>
              </w:rPr>
            </w:pPr>
            <w:r w:rsidRPr="00066C43">
              <w:t>↑</w:t>
            </w:r>
          </w:p>
        </w:tc>
      </w:tr>
      <w:tr w:rsidR="005A42BB" w:rsidRPr="00FD1A75" w14:paraId="7FD509C0" w14:textId="77777777" w:rsidTr="00792C4D">
        <w:tc>
          <w:tcPr>
            <w:tcW w:w="1711" w:type="pct"/>
            <w:tcBorders>
              <w:bottom w:val="single" w:sz="12" w:space="0" w:color="auto"/>
            </w:tcBorders>
          </w:tcPr>
          <w:p w14:paraId="37DDFB48" w14:textId="77777777" w:rsidR="005A42BB" w:rsidRPr="00FD1A75" w:rsidRDefault="005A42BB" w:rsidP="005A42BB">
            <w:r w:rsidRPr="00FD1A75">
              <w:t>Male</w:t>
            </w:r>
          </w:p>
        </w:tc>
        <w:tc>
          <w:tcPr>
            <w:tcW w:w="990" w:type="pct"/>
            <w:tcBorders>
              <w:bottom w:val="single" w:sz="12" w:space="0" w:color="auto"/>
            </w:tcBorders>
          </w:tcPr>
          <w:p w14:paraId="59FDD2FE" w14:textId="77777777" w:rsidR="005A42BB" w:rsidRPr="00FD1A75" w:rsidRDefault="005A42BB" w:rsidP="005A42BB">
            <w:pPr>
              <w:jc w:val="center"/>
            </w:pPr>
            <w:r>
              <w:t>72%</w:t>
            </w:r>
          </w:p>
        </w:tc>
        <w:tc>
          <w:tcPr>
            <w:tcW w:w="990" w:type="pct"/>
            <w:tcBorders>
              <w:bottom w:val="single" w:sz="12" w:space="0" w:color="auto"/>
            </w:tcBorders>
          </w:tcPr>
          <w:p w14:paraId="7994524E" w14:textId="77777777" w:rsidR="005A42BB" w:rsidRPr="00FD1A75" w:rsidRDefault="005A42BB" w:rsidP="005A42BB">
            <w:pPr>
              <w:jc w:val="center"/>
            </w:pPr>
            <w:r>
              <w:t>72%</w:t>
            </w:r>
          </w:p>
        </w:tc>
        <w:tc>
          <w:tcPr>
            <w:tcW w:w="1020" w:type="pct"/>
            <w:tcBorders>
              <w:top w:val="nil"/>
              <w:left w:val="nil"/>
              <w:bottom w:val="single" w:sz="12" w:space="0" w:color="auto"/>
              <w:right w:val="single" w:sz="8" w:space="0" w:color="auto"/>
            </w:tcBorders>
            <w:shd w:val="clear" w:color="auto" w:fill="auto"/>
          </w:tcPr>
          <w:p w14:paraId="4A267A17" w14:textId="72763126" w:rsidR="005A42BB" w:rsidRPr="00FD1A75" w:rsidRDefault="005A42BB" w:rsidP="005A42BB">
            <w:pPr>
              <w:jc w:val="center"/>
            </w:pPr>
            <w:r>
              <w:t>80%</w:t>
            </w:r>
          </w:p>
        </w:tc>
        <w:tc>
          <w:tcPr>
            <w:tcW w:w="289" w:type="pct"/>
            <w:tcBorders>
              <w:bottom w:val="single" w:sz="12" w:space="0" w:color="auto"/>
            </w:tcBorders>
          </w:tcPr>
          <w:p w14:paraId="412692A8" w14:textId="0A486F27" w:rsidR="005A42BB" w:rsidRPr="00066C43" w:rsidRDefault="005A42BB" w:rsidP="005A42BB">
            <w:pPr>
              <w:jc w:val="center"/>
              <w:rPr>
                <w:i/>
                <w:color w:val="00B050"/>
              </w:rPr>
            </w:pPr>
            <w:r w:rsidRPr="00066C43">
              <w:t>↑</w:t>
            </w:r>
          </w:p>
        </w:tc>
      </w:tr>
      <w:tr w:rsidR="005A42BB" w:rsidRPr="00FD1A75" w14:paraId="17224698" w14:textId="77777777" w:rsidTr="00792C4D">
        <w:tc>
          <w:tcPr>
            <w:tcW w:w="1711" w:type="pct"/>
            <w:tcBorders>
              <w:top w:val="single" w:sz="12" w:space="0" w:color="auto"/>
            </w:tcBorders>
          </w:tcPr>
          <w:p w14:paraId="2AE3F8F9" w14:textId="77777777" w:rsidR="005A42BB" w:rsidRPr="00FD1A75" w:rsidRDefault="005A42BB" w:rsidP="005A42BB">
            <w:r>
              <w:t>UK</w:t>
            </w:r>
          </w:p>
        </w:tc>
        <w:tc>
          <w:tcPr>
            <w:tcW w:w="990" w:type="pct"/>
            <w:tcBorders>
              <w:top w:val="single" w:sz="12" w:space="0" w:color="auto"/>
            </w:tcBorders>
          </w:tcPr>
          <w:p w14:paraId="06D3236E" w14:textId="77777777" w:rsidR="005A42BB" w:rsidRPr="00FD1A75" w:rsidRDefault="005A42BB" w:rsidP="005A42BB">
            <w:pPr>
              <w:jc w:val="center"/>
            </w:pPr>
            <w:r>
              <w:t>87%</w:t>
            </w:r>
          </w:p>
        </w:tc>
        <w:tc>
          <w:tcPr>
            <w:tcW w:w="990" w:type="pct"/>
            <w:tcBorders>
              <w:top w:val="single" w:sz="12" w:space="0" w:color="auto"/>
            </w:tcBorders>
          </w:tcPr>
          <w:p w14:paraId="6D02E490" w14:textId="77777777" w:rsidR="005A42BB" w:rsidRPr="00FD1A75" w:rsidRDefault="005A42BB" w:rsidP="005A42BB">
            <w:pPr>
              <w:jc w:val="center"/>
            </w:pPr>
            <w:r>
              <w:t>85%</w:t>
            </w:r>
          </w:p>
        </w:tc>
        <w:tc>
          <w:tcPr>
            <w:tcW w:w="1020" w:type="pct"/>
            <w:tcBorders>
              <w:top w:val="nil"/>
              <w:left w:val="nil"/>
              <w:bottom w:val="single" w:sz="8" w:space="0" w:color="auto"/>
              <w:right w:val="single" w:sz="8" w:space="0" w:color="auto"/>
            </w:tcBorders>
            <w:shd w:val="clear" w:color="auto" w:fill="auto"/>
          </w:tcPr>
          <w:p w14:paraId="23074B98" w14:textId="3B488620" w:rsidR="005A42BB" w:rsidRPr="00FD1A75" w:rsidRDefault="005A42BB" w:rsidP="005A42BB">
            <w:pPr>
              <w:jc w:val="center"/>
            </w:pPr>
            <w:r>
              <w:t>88%</w:t>
            </w:r>
          </w:p>
        </w:tc>
        <w:tc>
          <w:tcPr>
            <w:tcW w:w="289" w:type="pct"/>
            <w:tcBorders>
              <w:top w:val="single" w:sz="12" w:space="0" w:color="auto"/>
            </w:tcBorders>
          </w:tcPr>
          <w:p w14:paraId="69EBD39E" w14:textId="17DCD14F" w:rsidR="005A42BB" w:rsidRPr="00066C43" w:rsidRDefault="005A42BB" w:rsidP="005A42BB">
            <w:pPr>
              <w:jc w:val="center"/>
              <w:rPr>
                <w:i/>
                <w:color w:val="00B050"/>
              </w:rPr>
            </w:pPr>
            <w:r w:rsidRPr="00066C43">
              <w:t>↑</w:t>
            </w:r>
          </w:p>
        </w:tc>
      </w:tr>
      <w:tr w:rsidR="005A42BB" w:rsidRPr="00FD1A75" w14:paraId="050A784C" w14:textId="77777777" w:rsidTr="00792C4D">
        <w:tc>
          <w:tcPr>
            <w:tcW w:w="1711" w:type="pct"/>
          </w:tcPr>
          <w:p w14:paraId="18FAE1CE" w14:textId="77777777" w:rsidR="005A42BB" w:rsidRPr="00FD1A75" w:rsidRDefault="005A42BB" w:rsidP="005A42BB">
            <w:r>
              <w:t>EU</w:t>
            </w:r>
          </w:p>
        </w:tc>
        <w:tc>
          <w:tcPr>
            <w:tcW w:w="990" w:type="pct"/>
          </w:tcPr>
          <w:p w14:paraId="6BB5523B" w14:textId="77777777" w:rsidR="005A42BB" w:rsidRPr="00FD1A75" w:rsidRDefault="005A42BB" w:rsidP="005A42BB">
            <w:pPr>
              <w:jc w:val="center"/>
            </w:pPr>
            <w:r>
              <w:t>79%</w:t>
            </w:r>
          </w:p>
        </w:tc>
        <w:tc>
          <w:tcPr>
            <w:tcW w:w="990" w:type="pct"/>
          </w:tcPr>
          <w:p w14:paraId="26209CB1" w14:textId="77777777" w:rsidR="005A42BB" w:rsidRPr="00FD1A75" w:rsidRDefault="005A42BB" w:rsidP="005A42BB">
            <w:pPr>
              <w:jc w:val="center"/>
            </w:pPr>
            <w:r>
              <w:t>80%</w:t>
            </w:r>
          </w:p>
        </w:tc>
        <w:tc>
          <w:tcPr>
            <w:tcW w:w="1020" w:type="pct"/>
            <w:tcBorders>
              <w:top w:val="nil"/>
              <w:left w:val="nil"/>
              <w:bottom w:val="single" w:sz="8" w:space="0" w:color="auto"/>
              <w:right w:val="single" w:sz="8" w:space="0" w:color="auto"/>
            </w:tcBorders>
            <w:shd w:val="clear" w:color="auto" w:fill="auto"/>
          </w:tcPr>
          <w:p w14:paraId="4C28047F" w14:textId="3D933A2E" w:rsidR="005A42BB" w:rsidRPr="00FD1A75" w:rsidRDefault="005A42BB" w:rsidP="005A42BB">
            <w:pPr>
              <w:jc w:val="center"/>
            </w:pPr>
            <w:r>
              <w:t>83%</w:t>
            </w:r>
          </w:p>
        </w:tc>
        <w:tc>
          <w:tcPr>
            <w:tcW w:w="289" w:type="pct"/>
          </w:tcPr>
          <w:p w14:paraId="36415FF1" w14:textId="0D5688A3" w:rsidR="005A42BB" w:rsidRPr="00066C43" w:rsidRDefault="005A42BB" w:rsidP="005A42BB">
            <w:pPr>
              <w:jc w:val="center"/>
              <w:rPr>
                <w:i/>
                <w:color w:val="00B050"/>
              </w:rPr>
            </w:pPr>
            <w:r w:rsidRPr="00066C43">
              <w:t>↑</w:t>
            </w:r>
          </w:p>
        </w:tc>
      </w:tr>
      <w:tr w:rsidR="005A42BB" w:rsidRPr="00FD1A75" w14:paraId="004587E5" w14:textId="77777777" w:rsidTr="00792C4D">
        <w:tc>
          <w:tcPr>
            <w:tcW w:w="1711" w:type="pct"/>
            <w:tcBorders>
              <w:bottom w:val="single" w:sz="12" w:space="0" w:color="auto"/>
            </w:tcBorders>
          </w:tcPr>
          <w:p w14:paraId="7DB5A39E" w14:textId="77777777" w:rsidR="005A42BB" w:rsidRPr="00FD1A75" w:rsidRDefault="005A42BB" w:rsidP="005A42BB">
            <w:r>
              <w:t>OSI</w:t>
            </w:r>
          </w:p>
        </w:tc>
        <w:tc>
          <w:tcPr>
            <w:tcW w:w="990" w:type="pct"/>
            <w:tcBorders>
              <w:bottom w:val="single" w:sz="12" w:space="0" w:color="auto"/>
            </w:tcBorders>
          </w:tcPr>
          <w:p w14:paraId="3C52E474" w14:textId="77777777" w:rsidR="005A42BB" w:rsidRPr="00FD1A75" w:rsidRDefault="005A42BB" w:rsidP="005A42BB">
            <w:pPr>
              <w:jc w:val="center"/>
            </w:pPr>
            <w:r>
              <w:t>66%</w:t>
            </w:r>
          </w:p>
        </w:tc>
        <w:tc>
          <w:tcPr>
            <w:tcW w:w="990" w:type="pct"/>
            <w:tcBorders>
              <w:bottom w:val="single" w:sz="12" w:space="0" w:color="auto"/>
            </w:tcBorders>
          </w:tcPr>
          <w:p w14:paraId="5312F9F3" w14:textId="77777777" w:rsidR="005A42BB" w:rsidRPr="00FD1A75" w:rsidRDefault="005A42BB" w:rsidP="005A42BB">
            <w:pPr>
              <w:jc w:val="center"/>
            </w:pPr>
            <w:r>
              <w:t>67%</w:t>
            </w:r>
          </w:p>
        </w:tc>
        <w:tc>
          <w:tcPr>
            <w:tcW w:w="1020" w:type="pct"/>
            <w:tcBorders>
              <w:top w:val="nil"/>
              <w:left w:val="nil"/>
              <w:bottom w:val="single" w:sz="12" w:space="0" w:color="auto"/>
              <w:right w:val="single" w:sz="8" w:space="0" w:color="auto"/>
            </w:tcBorders>
            <w:shd w:val="clear" w:color="auto" w:fill="auto"/>
          </w:tcPr>
          <w:p w14:paraId="1A0BC7E1" w14:textId="30D5586C" w:rsidR="005A42BB" w:rsidRPr="00FD1A75" w:rsidRDefault="005A42BB" w:rsidP="005A42BB">
            <w:pPr>
              <w:jc w:val="center"/>
            </w:pPr>
            <w:r>
              <w:t>78%</w:t>
            </w:r>
          </w:p>
        </w:tc>
        <w:tc>
          <w:tcPr>
            <w:tcW w:w="289" w:type="pct"/>
            <w:tcBorders>
              <w:bottom w:val="single" w:sz="12" w:space="0" w:color="auto"/>
            </w:tcBorders>
          </w:tcPr>
          <w:p w14:paraId="50FFCC18" w14:textId="4BC48CE3" w:rsidR="005A42BB" w:rsidRPr="00066C43" w:rsidRDefault="005A42BB" w:rsidP="005A42BB">
            <w:pPr>
              <w:jc w:val="center"/>
              <w:rPr>
                <w:i/>
                <w:color w:val="00B050"/>
              </w:rPr>
            </w:pPr>
            <w:r w:rsidRPr="00066C43">
              <w:t>↑</w:t>
            </w:r>
          </w:p>
        </w:tc>
      </w:tr>
      <w:tr w:rsidR="005A42BB" w:rsidRPr="00FD1A75" w14:paraId="6162FCAF" w14:textId="77777777" w:rsidTr="00792C4D">
        <w:tc>
          <w:tcPr>
            <w:tcW w:w="1711" w:type="pct"/>
            <w:tcBorders>
              <w:top w:val="single" w:sz="12" w:space="0" w:color="auto"/>
            </w:tcBorders>
          </w:tcPr>
          <w:p w14:paraId="067B0123" w14:textId="77777777" w:rsidR="005A42BB" w:rsidRDefault="005A42BB" w:rsidP="005A42BB">
            <w:r>
              <w:t>Young &lt;21</w:t>
            </w:r>
          </w:p>
        </w:tc>
        <w:tc>
          <w:tcPr>
            <w:tcW w:w="990" w:type="pct"/>
            <w:tcBorders>
              <w:top w:val="single" w:sz="12" w:space="0" w:color="auto"/>
            </w:tcBorders>
          </w:tcPr>
          <w:p w14:paraId="37E73DE2" w14:textId="77777777" w:rsidR="005A42BB" w:rsidRDefault="005A42BB" w:rsidP="005A42BB">
            <w:pPr>
              <w:jc w:val="center"/>
            </w:pPr>
            <w:r>
              <w:t>79%</w:t>
            </w:r>
          </w:p>
        </w:tc>
        <w:tc>
          <w:tcPr>
            <w:tcW w:w="990" w:type="pct"/>
            <w:tcBorders>
              <w:top w:val="single" w:sz="12" w:space="0" w:color="auto"/>
            </w:tcBorders>
          </w:tcPr>
          <w:p w14:paraId="3D3DE8B8" w14:textId="77777777" w:rsidR="005A42BB" w:rsidRDefault="005A42BB" w:rsidP="005A42BB">
            <w:pPr>
              <w:jc w:val="center"/>
            </w:pPr>
            <w:r>
              <w:t>78%</w:t>
            </w:r>
          </w:p>
        </w:tc>
        <w:tc>
          <w:tcPr>
            <w:tcW w:w="1020" w:type="pct"/>
            <w:tcBorders>
              <w:top w:val="nil"/>
              <w:left w:val="nil"/>
              <w:bottom w:val="single" w:sz="8" w:space="0" w:color="auto"/>
              <w:right w:val="single" w:sz="8" w:space="0" w:color="auto"/>
            </w:tcBorders>
            <w:shd w:val="clear" w:color="auto" w:fill="auto"/>
          </w:tcPr>
          <w:p w14:paraId="0B15B7D5" w14:textId="7E55DDAE" w:rsidR="005A42BB" w:rsidRPr="00FD1A75" w:rsidRDefault="005A42BB" w:rsidP="005A42BB">
            <w:pPr>
              <w:jc w:val="center"/>
            </w:pPr>
            <w:r>
              <w:t>85%</w:t>
            </w:r>
          </w:p>
        </w:tc>
        <w:tc>
          <w:tcPr>
            <w:tcW w:w="289" w:type="pct"/>
            <w:tcBorders>
              <w:top w:val="single" w:sz="12" w:space="0" w:color="auto"/>
            </w:tcBorders>
          </w:tcPr>
          <w:p w14:paraId="5B3A29D0" w14:textId="4E5DB8BB" w:rsidR="005A42BB" w:rsidRPr="00066C43" w:rsidRDefault="005A42BB" w:rsidP="005A42BB">
            <w:pPr>
              <w:jc w:val="center"/>
              <w:rPr>
                <w:i/>
                <w:color w:val="00B050"/>
              </w:rPr>
            </w:pPr>
            <w:r w:rsidRPr="00066C43">
              <w:t>↑</w:t>
            </w:r>
          </w:p>
        </w:tc>
      </w:tr>
      <w:tr w:rsidR="005A42BB" w:rsidRPr="00FD1A75" w14:paraId="3839C1FE" w14:textId="77777777" w:rsidTr="00792C4D">
        <w:tc>
          <w:tcPr>
            <w:tcW w:w="1711" w:type="pct"/>
          </w:tcPr>
          <w:p w14:paraId="2D84A389" w14:textId="77777777" w:rsidR="005A42BB" w:rsidRDefault="005A42BB" w:rsidP="005A42BB">
            <w:r>
              <w:t>Mature &gt;21</w:t>
            </w:r>
          </w:p>
        </w:tc>
        <w:tc>
          <w:tcPr>
            <w:tcW w:w="990" w:type="pct"/>
          </w:tcPr>
          <w:p w14:paraId="54829011" w14:textId="77777777" w:rsidR="005A42BB" w:rsidRDefault="005A42BB" w:rsidP="005A42BB">
            <w:pPr>
              <w:jc w:val="center"/>
            </w:pPr>
            <w:r>
              <w:t>67%</w:t>
            </w:r>
          </w:p>
        </w:tc>
        <w:tc>
          <w:tcPr>
            <w:tcW w:w="990" w:type="pct"/>
          </w:tcPr>
          <w:p w14:paraId="2FDDB917" w14:textId="77777777" w:rsidR="005A42BB" w:rsidRDefault="005A42BB" w:rsidP="005A42BB">
            <w:pPr>
              <w:jc w:val="center"/>
            </w:pPr>
            <w:r>
              <w:t>68%</w:t>
            </w:r>
          </w:p>
        </w:tc>
        <w:tc>
          <w:tcPr>
            <w:tcW w:w="1020" w:type="pct"/>
            <w:tcBorders>
              <w:top w:val="nil"/>
              <w:left w:val="nil"/>
              <w:bottom w:val="single" w:sz="8" w:space="0" w:color="auto"/>
              <w:right w:val="single" w:sz="8" w:space="0" w:color="auto"/>
            </w:tcBorders>
            <w:shd w:val="clear" w:color="auto" w:fill="auto"/>
          </w:tcPr>
          <w:p w14:paraId="681263D2" w14:textId="3F2659CB" w:rsidR="005A42BB" w:rsidRPr="00FD1A75" w:rsidRDefault="005A42BB" w:rsidP="005A42BB">
            <w:pPr>
              <w:jc w:val="center"/>
            </w:pPr>
            <w:r>
              <w:t>77%</w:t>
            </w:r>
          </w:p>
        </w:tc>
        <w:tc>
          <w:tcPr>
            <w:tcW w:w="289" w:type="pct"/>
          </w:tcPr>
          <w:p w14:paraId="248C5F89" w14:textId="7C84B6B8" w:rsidR="005A42BB" w:rsidRPr="00066C43" w:rsidRDefault="005A42BB" w:rsidP="005A42BB">
            <w:pPr>
              <w:jc w:val="center"/>
              <w:rPr>
                <w:i/>
                <w:color w:val="00B050"/>
              </w:rPr>
            </w:pPr>
            <w:r w:rsidRPr="00066C43">
              <w:t>↑</w:t>
            </w:r>
          </w:p>
        </w:tc>
      </w:tr>
    </w:tbl>
    <w:p w14:paraId="1AD40218" w14:textId="77777777" w:rsidR="00FD1A75" w:rsidRDefault="00FD1A75" w:rsidP="00A409A7"/>
    <w:p w14:paraId="583C79B8" w14:textId="23165C84" w:rsidR="00D721E7" w:rsidRDefault="00D721E7">
      <w:r>
        <w:br w:type="page"/>
      </w:r>
    </w:p>
    <w:p w14:paraId="72ED6B2E" w14:textId="5B16CE41" w:rsidR="00D721E7" w:rsidRDefault="00D721E7" w:rsidP="0013040B">
      <w:pPr>
        <w:pStyle w:val="Heading1"/>
        <w:numPr>
          <w:ilvl w:val="0"/>
          <w:numId w:val="4"/>
        </w:numPr>
      </w:pPr>
      <w:bookmarkStart w:id="150" w:name="_Toc63432765"/>
      <w:r>
        <w:lastRenderedPageBreak/>
        <w:t>Data Definitions</w:t>
      </w:r>
      <w:bookmarkEnd w:id="150"/>
    </w:p>
    <w:p w14:paraId="5468B90C" w14:textId="3C62A7F9" w:rsidR="00E13CF5" w:rsidRDefault="00E13CF5" w:rsidP="00D721E7">
      <w:pPr>
        <w:rPr>
          <w:b/>
        </w:rPr>
      </w:pPr>
      <w:r>
        <w:rPr>
          <w:b/>
        </w:rPr>
        <w:t>Disability</w:t>
      </w:r>
    </w:p>
    <w:tbl>
      <w:tblPr>
        <w:tblStyle w:val="TableGrid"/>
        <w:tblW w:w="0" w:type="auto"/>
        <w:tblLook w:val="04A0" w:firstRow="1" w:lastRow="0" w:firstColumn="1" w:lastColumn="0" w:noHBand="0" w:noVBand="1"/>
      </w:tblPr>
      <w:tblGrid>
        <w:gridCol w:w="2972"/>
        <w:gridCol w:w="6044"/>
      </w:tblGrid>
      <w:tr w:rsidR="00E13CF5" w14:paraId="2E9E7F59" w14:textId="77777777" w:rsidTr="003F443F">
        <w:tc>
          <w:tcPr>
            <w:tcW w:w="2972" w:type="dxa"/>
          </w:tcPr>
          <w:p w14:paraId="5D3765AD" w14:textId="51906E7E" w:rsidR="00E13CF5" w:rsidRDefault="00E13CF5" w:rsidP="003F443F">
            <w:r>
              <w:t>Disabled</w:t>
            </w:r>
          </w:p>
        </w:tc>
        <w:tc>
          <w:tcPr>
            <w:tcW w:w="6044" w:type="dxa"/>
          </w:tcPr>
          <w:p w14:paraId="314491EA" w14:textId="71D03CB2" w:rsidR="00E13CF5" w:rsidRDefault="0013040B" w:rsidP="003F443F">
            <w:r>
              <w:t>Refers to individuals who have stated that they have a disability as defined by the Equality Act 2010.</w:t>
            </w:r>
          </w:p>
        </w:tc>
      </w:tr>
      <w:tr w:rsidR="00E13CF5" w14:paraId="43484889" w14:textId="77777777" w:rsidTr="003F443F">
        <w:tc>
          <w:tcPr>
            <w:tcW w:w="2972" w:type="dxa"/>
          </w:tcPr>
          <w:p w14:paraId="11883BCC" w14:textId="6A48B759" w:rsidR="00E13CF5" w:rsidRDefault="00E13CF5" w:rsidP="003F443F">
            <w:r>
              <w:t>No Disability</w:t>
            </w:r>
          </w:p>
        </w:tc>
        <w:tc>
          <w:tcPr>
            <w:tcW w:w="6044" w:type="dxa"/>
          </w:tcPr>
          <w:p w14:paraId="326AB902" w14:textId="4B337CF6" w:rsidR="00E13CF5" w:rsidRDefault="0013040B" w:rsidP="003F443F">
            <w:r>
              <w:t>Refers to individuals who have stated that they do not have a disability, declined to answer and unknown.</w:t>
            </w:r>
          </w:p>
        </w:tc>
      </w:tr>
    </w:tbl>
    <w:p w14:paraId="28E4F885" w14:textId="77777777" w:rsidR="0013040B" w:rsidRDefault="0013040B" w:rsidP="00D721E7">
      <w:pPr>
        <w:rPr>
          <w:b/>
        </w:rPr>
      </w:pPr>
    </w:p>
    <w:p w14:paraId="508FEC22" w14:textId="12CBA0D0" w:rsidR="00E13CF5" w:rsidRDefault="0013040B" w:rsidP="00D721E7">
      <w:pPr>
        <w:rPr>
          <w:b/>
        </w:rPr>
      </w:pPr>
      <w:r>
        <w:rPr>
          <w:b/>
        </w:rPr>
        <w:t>Domicile</w:t>
      </w:r>
    </w:p>
    <w:tbl>
      <w:tblPr>
        <w:tblStyle w:val="TableGrid"/>
        <w:tblW w:w="0" w:type="auto"/>
        <w:tblLook w:val="04A0" w:firstRow="1" w:lastRow="0" w:firstColumn="1" w:lastColumn="0" w:noHBand="0" w:noVBand="1"/>
      </w:tblPr>
      <w:tblGrid>
        <w:gridCol w:w="2972"/>
        <w:gridCol w:w="6044"/>
      </w:tblGrid>
      <w:tr w:rsidR="0013040B" w14:paraId="2AE4BA87" w14:textId="77777777" w:rsidTr="003F443F">
        <w:tc>
          <w:tcPr>
            <w:tcW w:w="2972" w:type="dxa"/>
          </w:tcPr>
          <w:p w14:paraId="7B78355C" w14:textId="35B160CB" w:rsidR="0013040B" w:rsidRDefault="0013040B" w:rsidP="003F443F">
            <w:r>
              <w:t>UK</w:t>
            </w:r>
          </w:p>
        </w:tc>
        <w:tc>
          <w:tcPr>
            <w:tcW w:w="6044" w:type="dxa"/>
          </w:tcPr>
          <w:p w14:paraId="4DA415CA" w14:textId="4F9995C2" w:rsidR="0013040B" w:rsidRDefault="0013040B" w:rsidP="0013040B">
            <w:r>
              <w:t>Refers to individuals who are from the UK / British.</w:t>
            </w:r>
          </w:p>
        </w:tc>
      </w:tr>
      <w:tr w:rsidR="0013040B" w14:paraId="0324B54F" w14:textId="77777777" w:rsidTr="003F443F">
        <w:tc>
          <w:tcPr>
            <w:tcW w:w="2972" w:type="dxa"/>
          </w:tcPr>
          <w:p w14:paraId="23D4A636" w14:textId="20551327" w:rsidR="0013040B" w:rsidRDefault="0013040B" w:rsidP="003F443F">
            <w:r>
              <w:t>EU</w:t>
            </w:r>
          </w:p>
        </w:tc>
        <w:tc>
          <w:tcPr>
            <w:tcW w:w="6044" w:type="dxa"/>
          </w:tcPr>
          <w:p w14:paraId="2FF91EF0" w14:textId="4270D163" w:rsidR="0013040B" w:rsidRDefault="0013040B" w:rsidP="003F443F">
            <w:r w:rsidRPr="0013040B">
              <w:t>Refers to indivi</w:t>
            </w:r>
            <w:r>
              <w:t>duals who are from the European Union.</w:t>
            </w:r>
          </w:p>
        </w:tc>
      </w:tr>
      <w:tr w:rsidR="0013040B" w14:paraId="27C58426" w14:textId="77777777" w:rsidTr="003F443F">
        <w:tc>
          <w:tcPr>
            <w:tcW w:w="2972" w:type="dxa"/>
          </w:tcPr>
          <w:p w14:paraId="77CC2913" w14:textId="7ACC7C3B" w:rsidR="0013040B" w:rsidRDefault="0013040B" w:rsidP="003F443F">
            <w:r>
              <w:t>OSI</w:t>
            </w:r>
          </w:p>
        </w:tc>
        <w:tc>
          <w:tcPr>
            <w:tcW w:w="6044" w:type="dxa"/>
          </w:tcPr>
          <w:p w14:paraId="6E50AB38" w14:textId="778288E2" w:rsidR="0013040B" w:rsidRPr="0013040B" w:rsidRDefault="0013040B" w:rsidP="0013040B">
            <w:r w:rsidRPr="0013040B">
              <w:t xml:space="preserve">Refers to individuals who are from the </w:t>
            </w:r>
            <w:r>
              <w:t>rest of the world, excluding UK/British and the European Union.</w:t>
            </w:r>
          </w:p>
        </w:tc>
      </w:tr>
    </w:tbl>
    <w:p w14:paraId="65CA3059" w14:textId="77777777" w:rsidR="0013040B" w:rsidRDefault="0013040B" w:rsidP="00D721E7">
      <w:pPr>
        <w:rPr>
          <w:b/>
        </w:rPr>
      </w:pPr>
    </w:p>
    <w:p w14:paraId="540AE1FA" w14:textId="5922B07C" w:rsidR="00E13CF5" w:rsidRDefault="00E13CF5" w:rsidP="00D721E7">
      <w:pPr>
        <w:rPr>
          <w:b/>
        </w:rPr>
      </w:pPr>
      <w:r>
        <w:rPr>
          <w:b/>
        </w:rPr>
        <w:t>Gender</w:t>
      </w:r>
    </w:p>
    <w:tbl>
      <w:tblPr>
        <w:tblStyle w:val="TableGrid"/>
        <w:tblW w:w="0" w:type="auto"/>
        <w:tblLook w:val="04A0" w:firstRow="1" w:lastRow="0" w:firstColumn="1" w:lastColumn="0" w:noHBand="0" w:noVBand="1"/>
      </w:tblPr>
      <w:tblGrid>
        <w:gridCol w:w="2972"/>
        <w:gridCol w:w="6044"/>
      </w:tblGrid>
      <w:tr w:rsidR="00E13CF5" w14:paraId="64446216" w14:textId="77777777" w:rsidTr="003F443F">
        <w:tc>
          <w:tcPr>
            <w:tcW w:w="2972" w:type="dxa"/>
          </w:tcPr>
          <w:p w14:paraId="05C7361E" w14:textId="212090CA" w:rsidR="00E13CF5" w:rsidRDefault="00E13CF5" w:rsidP="003F443F">
            <w:r>
              <w:t>Female</w:t>
            </w:r>
          </w:p>
        </w:tc>
        <w:tc>
          <w:tcPr>
            <w:tcW w:w="6044" w:type="dxa"/>
          </w:tcPr>
          <w:p w14:paraId="4673D1CC" w14:textId="7A72CF67" w:rsidR="00E13CF5" w:rsidRDefault="0013040B" w:rsidP="003F443F">
            <w:r>
              <w:t>Refers to individuals who stated they are Female.</w:t>
            </w:r>
          </w:p>
        </w:tc>
      </w:tr>
      <w:tr w:rsidR="00E13CF5" w14:paraId="77A80915" w14:textId="77777777" w:rsidTr="003F443F">
        <w:tc>
          <w:tcPr>
            <w:tcW w:w="2972" w:type="dxa"/>
          </w:tcPr>
          <w:p w14:paraId="2E73E42C" w14:textId="795F6028" w:rsidR="00E13CF5" w:rsidRDefault="00E13CF5" w:rsidP="003F443F">
            <w:r>
              <w:t>Male</w:t>
            </w:r>
          </w:p>
        </w:tc>
        <w:tc>
          <w:tcPr>
            <w:tcW w:w="6044" w:type="dxa"/>
          </w:tcPr>
          <w:p w14:paraId="2F054154" w14:textId="7EE38BB0" w:rsidR="00E13CF5" w:rsidRDefault="0013040B" w:rsidP="003F443F">
            <w:r w:rsidRPr="0013040B">
              <w:t>Refers to indivi</w:t>
            </w:r>
            <w:r>
              <w:t>duals who stated they are Male.</w:t>
            </w:r>
          </w:p>
        </w:tc>
      </w:tr>
    </w:tbl>
    <w:p w14:paraId="0841E09E" w14:textId="77777777" w:rsidR="00E13CF5" w:rsidRDefault="00E13CF5" w:rsidP="00D721E7">
      <w:pPr>
        <w:rPr>
          <w:b/>
        </w:rPr>
      </w:pPr>
    </w:p>
    <w:p w14:paraId="14F38894" w14:textId="5DCB5DFF" w:rsidR="00D721E7" w:rsidRPr="00D721E7" w:rsidRDefault="00D721E7" w:rsidP="00D721E7">
      <w:pPr>
        <w:rPr>
          <w:b/>
        </w:rPr>
      </w:pPr>
      <w:r w:rsidRPr="00D721E7">
        <w:rPr>
          <w:b/>
        </w:rPr>
        <w:t>Ethnicity</w:t>
      </w:r>
    </w:p>
    <w:tbl>
      <w:tblPr>
        <w:tblStyle w:val="TableGrid"/>
        <w:tblW w:w="0" w:type="auto"/>
        <w:tblLook w:val="04A0" w:firstRow="1" w:lastRow="0" w:firstColumn="1" w:lastColumn="0" w:noHBand="0" w:noVBand="1"/>
      </w:tblPr>
      <w:tblGrid>
        <w:gridCol w:w="2972"/>
        <w:gridCol w:w="6044"/>
      </w:tblGrid>
      <w:tr w:rsidR="00D721E7" w14:paraId="2CCE85CD" w14:textId="77777777" w:rsidTr="00D721E7">
        <w:tc>
          <w:tcPr>
            <w:tcW w:w="2972" w:type="dxa"/>
          </w:tcPr>
          <w:p w14:paraId="4125098B" w14:textId="73923E50" w:rsidR="00D721E7" w:rsidRDefault="00D721E7" w:rsidP="00A409A7">
            <w:r>
              <w:t>BAME +</w:t>
            </w:r>
          </w:p>
        </w:tc>
        <w:tc>
          <w:tcPr>
            <w:tcW w:w="6044" w:type="dxa"/>
          </w:tcPr>
          <w:p w14:paraId="44EC0026" w14:textId="043997D0" w:rsidR="00D721E7" w:rsidRDefault="00D721E7" w:rsidP="00A409A7">
            <w:r>
              <w:t>Used to refer to all ethnic minority groups, compared to White British. BAME+ includes White Irish, Gypsy/Traveller, White Other, and People of Colour.</w:t>
            </w:r>
          </w:p>
        </w:tc>
      </w:tr>
      <w:tr w:rsidR="00D721E7" w14:paraId="670D6E01" w14:textId="77777777" w:rsidTr="00D721E7">
        <w:tc>
          <w:tcPr>
            <w:tcW w:w="2972" w:type="dxa"/>
          </w:tcPr>
          <w:p w14:paraId="09EFD4B4" w14:textId="4C6D8117" w:rsidR="00D721E7" w:rsidRDefault="00D721E7" w:rsidP="00A409A7">
            <w:r>
              <w:t>People of Colour</w:t>
            </w:r>
          </w:p>
        </w:tc>
        <w:tc>
          <w:tcPr>
            <w:tcW w:w="6044" w:type="dxa"/>
          </w:tcPr>
          <w:p w14:paraId="50BFBEF4" w14:textId="1A69BD08" w:rsidR="00D721E7" w:rsidRDefault="00D721E7" w:rsidP="00A409A7">
            <w:r>
              <w:t>Used to refer to all Asian, Black, Mixed, and Other Ethnic Groups. Excludes White minority ethnic groups.</w:t>
            </w:r>
          </w:p>
        </w:tc>
      </w:tr>
      <w:tr w:rsidR="00D721E7" w14:paraId="65DB2F4F" w14:textId="77777777" w:rsidTr="00D721E7">
        <w:tc>
          <w:tcPr>
            <w:tcW w:w="2972" w:type="dxa"/>
          </w:tcPr>
          <w:p w14:paraId="094214A0" w14:textId="1FFE3D47" w:rsidR="00D721E7" w:rsidRDefault="00D721E7" w:rsidP="00A409A7">
            <w:r>
              <w:t>People of Colour (UK)</w:t>
            </w:r>
          </w:p>
        </w:tc>
        <w:tc>
          <w:tcPr>
            <w:tcW w:w="6044" w:type="dxa"/>
          </w:tcPr>
          <w:p w14:paraId="471E060E" w14:textId="6B0D0B83" w:rsidR="00D721E7" w:rsidRDefault="00D721E7" w:rsidP="00A409A7">
            <w:r w:rsidRPr="00D721E7">
              <w:t xml:space="preserve">Used to refer to </w:t>
            </w:r>
            <w:r>
              <w:t xml:space="preserve">all UK Domiciled </w:t>
            </w:r>
            <w:r w:rsidRPr="00D721E7">
              <w:t>Asian, Black, Mixed, and Other Ethnic Groups. Exclud</w:t>
            </w:r>
            <w:r>
              <w:t>es White minority ethnic groups and EU/Overseas/International People of Colour.</w:t>
            </w:r>
          </w:p>
        </w:tc>
      </w:tr>
      <w:tr w:rsidR="00D721E7" w14:paraId="3DC12F29" w14:textId="77777777" w:rsidTr="00D721E7">
        <w:tc>
          <w:tcPr>
            <w:tcW w:w="2972" w:type="dxa"/>
          </w:tcPr>
          <w:p w14:paraId="24B2DCF1" w14:textId="7781922C" w:rsidR="00D721E7" w:rsidRDefault="00D721E7" w:rsidP="00A409A7">
            <w:r>
              <w:t>Asian</w:t>
            </w:r>
          </w:p>
        </w:tc>
        <w:tc>
          <w:tcPr>
            <w:tcW w:w="6044" w:type="dxa"/>
          </w:tcPr>
          <w:p w14:paraId="7CD2CAF6" w14:textId="4A2C0775" w:rsidR="00D721E7" w:rsidRDefault="00D721E7" w:rsidP="00D721E7">
            <w:r>
              <w:t>Refers to the Asian minority ethnic groups of Bangladeshi, Chinese, Indian, Pakistani, and Other Asian background.</w:t>
            </w:r>
          </w:p>
        </w:tc>
      </w:tr>
      <w:tr w:rsidR="00D721E7" w14:paraId="6FAAED0B" w14:textId="77777777" w:rsidTr="00D721E7">
        <w:tc>
          <w:tcPr>
            <w:tcW w:w="2972" w:type="dxa"/>
          </w:tcPr>
          <w:p w14:paraId="373B1209" w14:textId="40D1A9D4" w:rsidR="00D721E7" w:rsidRDefault="00D721E7" w:rsidP="00A409A7">
            <w:r>
              <w:t>Black</w:t>
            </w:r>
          </w:p>
        </w:tc>
        <w:tc>
          <w:tcPr>
            <w:tcW w:w="6044" w:type="dxa"/>
          </w:tcPr>
          <w:p w14:paraId="702FAA73" w14:textId="7035D46C" w:rsidR="00D721E7" w:rsidRDefault="00D721E7" w:rsidP="00A409A7">
            <w:r>
              <w:t>Refers to Black minority ethnic groups of African, Caribbean, and Other Black background.</w:t>
            </w:r>
          </w:p>
        </w:tc>
      </w:tr>
      <w:tr w:rsidR="00D721E7" w14:paraId="39BBC570" w14:textId="77777777" w:rsidTr="00D721E7">
        <w:tc>
          <w:tcPr>
            <w:tcW w:w="2972" w:type="dxa"/>
          </w:tcPr>
          <w:p w14:paraId="0B54B529" w14:textId="466D0FFE" w:rsidR="00D721E7" w:rsidRDefault="00D721E7" w:rsidP="00A409A7">
            <w:r>
              <w:t>Mixed</w:t>
            </w:r>
          </w:p>
        </w:tc>
        <w:tc>
          <w:tcPr>
            <w:tcW w:w="6044" w:type="dxa"/>
          </w:tcPr>
          <w:p w14:paraId="4BB6AA9A" w14:textId="4734FE72" w:rsidR="00D721E7" w:rsidRDefault="00D721E7" w:rsidP="00A409A7">
            <w:r>
              <w:t>Refers to Mixed minority ethnic groups of White &amp; Asian, White &amp; Black African, White &amp; Black Caribbean, and Other Mixed background.</w:t>
            </w:r>
          </w:p>
        </w:tc>
      </w:tr>
      <w:tr w:rsidR="00D721E7" w14:paraId="6C80D0D1" w14:textId="77777777" w:rsidTr="00D721E7">
        <w:tc>
          <w:tcPr>
            <w:tcW w:w="2972" w:type="dxa"/>
          </w:tcPr>
          <w:p w14:paraId="6094C1F2" w14:textId="24D7DC49" w:rsidR="00D721E7" w:rsidRDefault="00D721E7" w:rsidP="00A409A7">
            <w:r>
              <w:t>Other</w:t>
            </w:r>
          </w:p>
        </w:tc>
        <w:tc>
          <w:tcPr>
            <w:tcW w:w="6044" w:type="dxa"/>
          </w:tcPr>
          <w:p w14:paraId="45E13A27" w14:textId="1626E3D4" w:rsidR="00D721E7" w:rsidRDefault="00D721E7" w:rsidP="00A409A7">
            <w:r>
              <w:t>Refers to Other minority ethnic groups of Arab, and Other ethnic background.</w:t>
            </w:r>
          </w:p>
        </w:tc>
      </w:tr>
      <w:tr w:rsidR="00D721E7" w14:paraId="5F8913A7" w14:textId="77777777" w:rsidTr="00D721E7">
        <w:tc>
          <w:tcPr>
            <w:tcW w:w="2972" w:type="dxa"/>
          </w:tcPr>
          <w:p w14:paraId="7AC76466" w14:textId="082AA7D4" w:rsidR="00D721E7" w:rsidRDefault="00D721E7" w:rsidP="00A409A7">
            <w:r>
              <w:t>White British</w:t>
            </w:r>
          </w:p>
        </w:tc>
        <w:tc>
          <w:tcPr>
            <w:tcW w:w="6044" w:type="dxa"/>
          </w:tcPr>
          <w:p w14:paraId="4E63A3A0" w14:textId="6CFF0B10" w:rsidR="00D721E7" w:rsidRDefault="00D721E7" w:rsidP="00A409A7">
            <w:r>
              <w:t>Refers to individuals who identity as White British only.</w:t>
            </w:r>
          </w:p>
        </w:tc>
      </w:tr>
      <w:tr w:rsidR="00D721E7" w14:paraId="29ADB199" w14:textId="77777777" w:rsidTr="00D721E7">
        <w:tc>
          <w:tcPr>
            <w:tcW w:w="2972" w:type="dxa"/>
          </w:tcPr>
          <w:p w14:paraId="691D27B9" w14:textId="6775122E" w:rsidR="00D721E7" w:rsidRDefault="00D721E7" w:rsidP="00A409A7">
            <w:r>
              <w:t>White</w:t>
            </w:r>
          </w:p>
        </w:tc>
        <w:tc>
          <w:tcPr>
            <w:tcW w:w="6044" w:type="dxa"/>
          </w:tcPr>
          <w:p w14:paraId="1E89DB45" w14:textId="0F5856DB" w:rsidR="00D721E7" w:rsidRDefault="00D721E7" w:rsidP="00A409A7">
            <w:r>
              <w:t>Refers to all White ethnic groups of White British, White Irish, Gypsy/Traveller, and Other White background.</w:t>
            </w:r>
          </w:p>
        </w:tc>
      </w:tr>
    </w:tbl>
    <w:p w14:paraId="1935BF58" w14:textId="77777777" w:rsidR="00D721E7" w:rsidRDefault="00D721E7" w:rsidP="00A409A7"/>
    <w:p w14:paraId="3DFA61B8" w14:textId="6C7B6E5D" w:rsidR="00D721E7" w:rsidRDefault="00D721E7" w:rsidP="00A409A7">
      <w:r>
        <w:lastRenderedPageBreak/>
        <w:t>People of Colour is used within this report to provide a clearer descriptive term to refer to non-white ethnic minority groups. BAME or BME is usually used to denote this however, there is no clear acronym to refer to white minority ethnic groups as part of the collective</w:t>
      </w:r>
      <w:r w:rsidR="0013040B">
        <w:t xml:space="preserve"> ethnic minority community, therefore BAME+ is used with</w:t>
      </w:r>
      <w:r>
        <w:t xml:space="preserve">in this report to enable this distinction. </w:t>
      </w:r>
    </w:p>
    <w:p w14:paraId="1D45C907" w14:textId="23C907A3" w:rsidR="0013040B" w:rsidRPr="0013040B" w:rsidRDefault="0013040B" w:rsidP="00A409A7">
      <w:pPr>
        <w:rPr>
          <w:b/>
        </w:rPr>
      </w:pPr>
      <w:r w:rsidRPr="0013040B">
        <w:rPr>
          <w:b/>
        </w:rPr>
        <w:t>Religion</w:t>
      </w:r>
    </w:p>
    <w:tbl>
      <w:tblPr>
        <w:tblStyle w:val="TableGrid"/>
        <w:tblW w:w="0" w:type="auto"/>
        <w:tblLook w:val="04A0" w:firstRow="1" w:lastRow="0" w:firstColumn="1" w:lastColumn="0" w:noHBand="0" w:noVBand="1"/>
      </w:tblPr>
      <w:tblGrid>
        <w:gridCol w:w="2972"/>
        <w:gridCol w:w="6044"/>
      </w:tblGrid>
      <w:tr w:rsidR="0013040B" w14:paraId="7B7E6BCB" w14:textId="77777777" w:rsidTr="003F443F">
        <w:tc>
          <w:tcPr>
            <w:tcW w:w="2972" w:type="dxa"/>
          </w:tcPr>
          <w:p w14:paraId="546044B6" w14:textId="6E6C6283" w:rsidR="0013040B" w:rsidRDefault="0013040B" w:rsidP="003F443F">
            <w:r w:rsidRPr="0013040B">
              <w:t>Religious</w:t>
            </w:r>
          </w:p>
        </w:tc>
        <w:tc>
          <w:tcPr>
            <w:tcW w:w="6044" w:type="dxa"/>
          </w:tcPr>
          <w:p w14:paraId="0C38D635" w14:textId="3DBB98C3" w:rsidR="0013040B" w:rsidRDefault="0013040B" w:rsidP="0013040B">
            <w:r>
              <w:t xml:space="preserve">Refers to individuals who have stated that they identify as Buddhist, Christian, Hindu, Jewish, Muslim, Sikh, Spiritual, or Other Religious belief. </w:t>
            </w:r>
            <w:r w:rsidRPr="0013040B">
              <w:t xml:space="preserve">Excludes Atheist, </w:t>
            </w:r>
            <w:proofErr w:type="gramStart"/>
            <w:r w:rsidRPr="0013040B">
              <w:t>Decline</w:t>
            </w:r>
            <w:proofErr w:type="gramEnd"/>
            <w:r w:rsidRPr="0013040B">
              <w:t xml:space="preserve"> and Unknown.</w:t>
            </w:r>
          </w:p>
        </w:tc>
      </w:tr>
      <w:tr w:rsidR="0013040B" w14:paraId="61D0B4FB" w14:textId="77777777" w:rsidTr="003F443F">
        <w:tc>
          <w:tcPr>
            <w:tcW w:w="2972" w:type="dxa"/>
          </w:tcPr>
          <w:p w14:paraId="6156FEAC" w14:textId="076D7F85" w:rsidR="0013040B" w:rsidRPr="0013040B" w:rsidRDefault="0013040B" w:rsidP="003F443F">
            <w:r w:rsidRPr="0013040B">
              <w:t>Religious (</w:t>
            </w:r>
            <w:proofErr w:type="spellStart"/>
            <w:r w:rsidRPr="0013040B">
              <w:t>ex Christian</w:t>
            </w:r>
            <w:proofErr w:type="spellEnd"/>
            <w:r w:rsidRPr="0013040B">
              <w:t>)</w:t>
            </w:r>
          </w:p>
        </w:tc>
        <w:tc>
          <w:tcPr>
            <w:tcW w:w="6044" w:type="dxa"/>
          </w:tcPr>
          <w:p w14:paraId="6175086A" w14:textId="2BE92143" w:rsidR="0013040B" w:rsidRDefault="0013040B" w:rsidP="0013040B">
            <w:r w:rsidRPr="0013040B">
              <w:t>Refers to individuals who have stated that they identify as Buddhist, Hindu, Jewish, Muslim, Sikh, Spiritual, or Other Religious belief.</w:t>
            </w:r>
            <w:r>
              <w:t xml:space="preserve"> Excludes Christian, Atheist, </w:t>
            </w:r>
            <w:proofErr w:type="gramStart"/>
            <w:r>
              <w:t>Decline</w:t>
            </w:r>
            <w:proofErr w:type="gramEnd"/>
            <w:r>
              <w:t xml:space="preserve"> and Unknown.</w:t>
            </w:r>
          </w:p>
        </w:tc>
      </w:tr>
    </w:tbl>
    <w:p w14:paraId="5CF85828" w14:textId="77777777" w:rsidR="0013040B" w:rsidRDefault="0013040B" w:rsidP="00A409A7">
      <w:pPr>
        <w:rPr>
          <w:b/>
        </w:rPr>
      </w:pPr>
    </w:p>
    <w:p w14:paraId="4983A603" w14:textId="5AF8E95F" w:rsidR="00D721E7" w:rsidRPr="00E13CF5" w:rsidRDefault="00E13CF5" w:rsidP="00A409A7">
      <w:pPr>
        <w:rPr>
          <w:b/>
        </w:rPr>
      </w:pPr>
      <w:r w:rsidRPr="00E13CF5">
        <w:rPr>
          <w:b/>
        </w:rPr>
        <w:t>Sexuality</w:t>
      </w:r>
    </w:p>
    <w:tbl>
      <w:tblPr>
        <w:tblStyle w:val="TableGrid"/>
        <w:tblW w:w="0" w:type="auto"/>
        <w:tblLook w:val="04A0" w:firstRow="1" w:lastRow="0" w:firstColumn="1" w:lastColumn="0" w:noHBand="0" w:noVBand="1"/>
      </w:tblPr>
      <w:tblGrid>
        <w:gridCol w:w="2972"/>
        <w:gridCol w:w="6044"/>
      </w:tblGrid>
      <w:tr w:rsidR="00E13CF5" w14:paraId="6E1A454A" w14:textId="77777777" w:rsidTr="003F443F">
        <w:tc>
          <w:tcPr>
            <w:tcW w:w="2972" w:type="dxa"/>
          </w:tcPr>
          <w:p w14:paraId="22709CE0" w14:textId="043BE160" w:rsidR="00E13CF5" w:rsidRDefault="00E13CF5" w:rsidP="00E13CF5">
            <w:r>
              <w:t>LGB+</w:t>
            </w:r>
          </w:p>
        </w:tc>
        <w:tc>
          <w:tcPr>
            <w:tcW w:w="6044" w:type="dxa"/>
          </w:tcPr>
          <w:p w14:paraId="553F07C7" w14:textId="1514A774" w:rsidR="00E13CF5" w:rsidRDefault="00E13CF5" w:rsidP="003F443F">
            <w:r>
              <w:t xml:space="preserve">Refers to individuals who identify as Lesbian, Gay, Bisexual, or Other Sexuality. </w:t>
            </w:r>
          </w:p>
        </w:tc>
      </w:tr>
      <w:tr w:rsidR="00E13CF5" w14:paraId="7022F575" w14:textId="77777777" w:rsidTr="003F443F">
        <w:tc>
          <w:tcPr>
            <w:tcW w:w="2972" w:type="dxa"/>
          </w:tcPr>
          <w:p w14:paraId="00E12C96" w14:textId="1B622730" w:rsidR="00E13CF5" w:rsidRDefault="00E13CF5" w:rsidP="003F443F">
            <w:r>
              <w:t>Heterosexual</w:t>
            </w:r>
          </w:p>
        </w:tc>
        <w:tc>
          <w:tcPr>
            <w:tcW w:w="6044" w:type="dxa"/>
          </w:tcPr>
          <w:p w14:paraId="59781DFA" w14:textId="1F862040" w:rsidR="00E13CF5" w:rsidRDefault="00E13CF5" w:rsidP="003F443F">
            <w:r>
              <w:t>Refers to individuals who identify as being heterosexual / straight.</w:t>
            </w:r>
          </w:p>
        </w:tc>
      </w:tr>
    </w:tbl>
    <w:p w14:paraId="34DD2210" w14:textId="77777777" w:rsidR="00E13CF5" w:rsidRDefault="00E13CF5" w:rsidP="00A409A7"/>
    <w:sectPr w:rsidR="00E13CF5" w:rsidSect="00D27475">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418FD" w14:textId="77777777" w:rsidR="00D721E7" w:rsidRDefault="00D721E7" w:rsidP="001728CD">
      <w:pPr>
        <w:spacing w:after="0" w:line="240" w:lineRule="auto"/>
      </w:pPr>
      <w:r>
        <w:separator/>
      </w:r>
    </w:p>
  </w:endnote>
  <w:endnote w:type="continuationSeparator" w:id="0">
    <w:p w14:paraId="03C1A9CE" w14:textId="77777777" w:rsidR="00D721E7" w:rsidRDefault="00D721E7" w:rsidP="0017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38273"/>
      <w:docPartObj>
        <w:docPartGallery w:val="Page Numbers (Bottom of Page)"/>
        <w:docPartUnique/>
      </w:docPartObj>
    </w:sdtPr>
    <w:sdtEndPr>
      <w:rPr>
        <w:noProof/>
      </w:rPr>
    </w:sdtEndPr>
    <w:sdtContent>
      <w:p w14:paraId="75296CB5" w14:textId="77777777" w:rsidR="00D721E7" w:rsidRDefault="00D721E7">
        <w:pPr>
          <w:pStyle w:val="Footer"/>
          <w:jc w:val="right"/>
        </w:pPr>
        <w:r>
          <w:fldChar w:fldCharType="begin"/>
        </w:r>
        <w:r>
          <w:instrText xml:space="preserve"> PAGE   \* MERGEFORMAT </w:instrText>
        </w:r>
        <w:r>
          <w:fldChar w:fldCharType="separate"/>
        </w:r>
        <w:r w:rsidR="005971E8">
          <w:rPr>
            <w:noProof/>
          </w:rPr>
          <w:t>6</w:t>
        </w:r>
        <w:r>
          <w:rPr>
            <w:noProof/>
          </w:rPr>
          <w:fldChar w:fldCharType="end"/>
        </w:r>
      </w:p>
    </w:sdtContent>
  </w:sdt>
  <w:p w14:paraId="513C4733" w14:textId="77777777" w:rsidR="00D721E7" w:rsidRDefault="00D7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F4E2" w14:textId="77777777" w:rsidR="00D721E7" w:rsidRDefault="00D721E7" w:rsidP="001728CD">
      <w:pPr>
        <w:spacing w:after="0" w:line="240" w:lineRule="auto"/>
      </w:pPr>
      <w:r>
        <w:separator/>
      </w:r>
    </w:p>
  </w:footnote>
  <w:footnote w:type="continuationSeparator" w:id="0">
    <w:p w14:paraId="7661B6AA" w14:textId="77777777" w:rsidR="00D721E7" w:rsidRDefault="00D721E7" w:rsidP="00172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3F"/>
    <w:multiLevelType w:val="hybridMultilevel"/>
    <w:tmpl w:val="F92C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6171"/>
    <w:multiLevelType w:val="hybridMultilevel"/>
    <w:tmpl w:val="F6B2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F3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E21BF"/>
    <w:multiLevelType w:val="hybridMultilevel"/>
    <w:tmpl w:val="A918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4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14E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D3A18"/>
    <w:multiLevelType w:val="hybridMultilevel"/>
    <w:tmpl w:val="014C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235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54EE6"/>
    <w:multiLevelType w:val="hybridMultilevel"/>
    <w:tmpl w:val="1CBC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22C78"/>
    <w:multiLevelType w:val="hybridMultilevel"/>
    <w:tmpl w:val="7FA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40B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7C6F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D1C00"/>
    <w:multiLevelType w:val="hybridMultilevel"/>
    <w:tmpl w:val="B44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A4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52DD9"/>
    <w:multiLevelType w:val="hybridMultilevel"/>
    <w:tmpl w:val="1E5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074"/>
    <w:multiLevelType w:val="hybridMultilevel"/>
    <w:tmpl w:val="BF5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2411B"/>
    <w:multiLevelType w:val="hybridMultilevel"/>
    <w:tmpl w:val="EBC22A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411E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55171"/>
    <w:multiLevelType w:val="hybridMultilevel"/>
    <w:tmpl w:val="69043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B3E93"/>
    <w:multiLevelType w:val="hybridMultilevel"/>
    <w:tmpl w:val="C0C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B56E9"/>
    <w:multiLevelType w:val="multilevel"/>
    <w:tmpl w:val="6A8E2BEC"/>
    <w:lvl w:ilvl="0">
      <w:start w:val="1"/>
      <w:numFmt w:val="decimal"/>
      <w:pStyle w:val="NumberedHeading"/>
      <w:lvlText w:val="%1."/>
      <w:lvlJc w:val="left"/>
      <w:pPr>
        <w:ind w:left="720" w:hanging="360"/>
      </w:pPr>
    </w:lvl>
    <w:lvl w:ilvl="1">
      <w:start w:val="1"/>
      <w:numFmt w:val="decimal"/>
      <w:pStyle w:val="TextunderNumbered"/>
      <w:isLgl/>
      <w:lvlText w:val="%1.%2"/>
      <w:lvlJc w:val="left"/>
      <w:pPr>
        <w:ind w:left="862" w:hanging="720"/>
      </w:pPr>
      <w:rPr>
        <w:b w:val="0"/>
      </w:rPr>
    </w:lvl>
    <w:lvl w:ilvl="2">
      <w:start w:val="1"/>
      <w:numFmt w:val="decimal"/>
      <w:pStyle w:val="NumberIndented"/>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5E6B0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237B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AE0B15"/>
    <w:multiLevelType w:val="multilevel"/>
    <w:tmpl w:val="470C25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05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F08CA"/>
    <w:multiLevelType w:val="hybridMultilevel"/>
    <w:tmpl w:val="AB9A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150EF"/>
    <w:multiLevelType w:val="hybridMultilevel"/>
    <w:tmpl w:val="4782A0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6F630B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5765F4"/>
    <w:multiLevelType w:val="hybridMultilevel"/>
    <w:tmpl w:val="C0E8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F6407"/>
    <w:multiLevelType w:val="hybridMultilevel"/>
    <w:tmpl w:val="527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D0EBD"/>
    <w:multiLevelType w:val="hybridMultilevel"/>
    <w:tmpl w:val="302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11CCB"/>
    <w:multiLevelType w:val="hybridMultilevel"/>
    <w:tmpl w:val="94E0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01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
  </w:num>
  <w:num w:numId="3">
    <w:abstractNumId w:val="13"/>
  </w:num>
  <w:num w:numId="4">
    <w:abstractNumId w:val="8"/>
  </w:num>
  <w:num w:numId="5">
    <w:abstractNumId w:val="23"/>
  </w:num>
  <w:num w:numId="6">
    <w:abstractNumId w:val="6"/>
  </w:num>
  <w:num w:numId="7">
    <w:abstractNumId w:val="33"/>
  </w:num>
  <w:num w:numId="8">
    <w:abstractNumId w:val="14"/>
  </w:num>
  <w:num w:numId="9">
    <w:abstractNumId w:val="12"/>
  </w:num>
  <w:num w:numId="10">
    <w:abstractNumId w:val="22"/>
  </w:num>
  <w:num w:numId="11">
    <w:abstractNumId w:val="25"/>
  </w:num>
  <w:num w:numId="12">
    <w:abstractNumId w:val="11"/>
  </w:num>
  <w:num w:numId="13">
    <w:abstractNumId w:val="3"/>
  </w:num>
  <w:num w:numId="14">
    <w:abstractNumId w:val="5"/>
  </w:num>
  <w:num w:numId="15">
    <w:abstractNumId w:val="28"/>
  </w:num>
  <w:num w:numId="16">
    <w:abstractNumId w:val="2"/>
  </w:num>
  <w:num w:numId="17">
    <w:abstractNumId w:val="18"/>
  </w:num>
  <w:num w:numId="18">
    <w:abstractNumId w:val="9"/>
  </w:num>
  <w:num w:numId="19">
    <w:abstractNumId w:val="24"/>
  </w:num>
  <w:num w:numId="20">
    <w:abstractNumId w:val="29"/>
  </w:num>
  <w:num w:numId="21">
    <w:abstractNumId w:val="0"/>
  </w:num>
  <w:num w:numId="22">
    <w:abstractNumId w:val="30"/>
  </w:num>
  <w:num w:numId="23">
    <w:abstractNumId w:val="26"/>
  </w:num>
  <w:num w:numId="24">
    <w:abstractNumId w:val="16"/>
  </w:num>
  <w:num w:numId="25">
    <w:abstractNumId w:val="20"/>
  </w:num>
  <w:num w:numId="26">
    <w:abstractNumId w:val="7"/>
  </w:num>
  <w:num w:numId="27">
    <w:abstractNumId w:val="4"/>
  </w:num>
  <w:num w:numId="28">
    <w:abstractNumId w:val="15"/>
  </w:num>
  <w:num w:numId="29">
    <w:abstractNumId w:val="10"/>
  </w:num>
  <w:num w:numId="30">
    <w:abstractNumId w:val="32"/>
  </w:num>
  <w:num w:numId="31">
    <w:abstractNumId w:val="27"/>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31"/>
    <w:rsid w:val="00053E93"/>
    <w:rsid w:val="00066C43"/>
    <w:rsid w:val="0009185F"/>
    <w:rsid w:val="00113B9E"/>
    <w:rsid w:val="0013040B"/>
    <w:rsid w:val="0013708F"/>
    <w:rsid w:val="001728CD"/>
    <w:rsid w:val="00183B58"/>
    <w:rsid w:val="00193561"/>
    <w:rsid w:val="001D7D1A"/>
    <w:rsid w:val="00224D9D"/>
    <w:rsid w:val="00245F6E"/>
    <w:rsid w:val="0025039B"/>
    <w:rsid w:val="00261424"/>
    <w:rsid w:val="002B19E1"/>
    <w:rsid w:val="002B7017"/>
    <w:rsid w:val="002E06A5"/>
    <w:rsid w:val="0032605C"/>
    <w:rsid w:val="003318A2"/>
    <w:rsid w:val="00333CDF"/>
    <w:rsid w:val="003725BA"/>
    <w:rsid w:val="0038061C"/>
    <w:rsid w:val="00392B9C"/>
    <w:rsid w:val="003A24B2"/>
    <w:rsid w:val="003B5BB2"/>
    <w:rsid w:val="003D060C"/>
    <w:rsid w:val="003D3CB5"/>
    <w:rsid w:val="00411DD4"/>
    <w:rsid w:val="004149E5"/>
    <w:rsid w:val="0042246F"/>
    <w:rsid w:val="00440088"/>
    <w:rsid w:val="00467BC2"/>
    <w:rsid w:val="00472517"/>
    <w:rsid w:val="004878FF"/>
    <w:rsid w:val="00490928"/>
    <w:rsid w:val="00493D6E"/>
    <w:rsid w:val="004D3B17"/>
    <w:rsid w:val="004E46EC"/>
    <w:rsid w:val="00526E0B"/>
    <w:rsid w:val="005354DE"/>
    <w:rsid w:val="00542E67"/>
    <w:rsid w:val="00547836"/>
    <w:rsid w:val="00553AA9"/>
    <w:rsid w:val="00571357"/>
    <w:rsid w:val="005971E8"/>
    <w:rsid w:val="005A42BB"/>
    <w:rsid w:val="005D3B99"/>
    <w:rsid w:val="005D40A2"/>
    <w:rsid w:val="005E396E"/>
    <w:rsid w:val="00601782"/>
    <w:rsid w:val="006017D2"/>
    <w:rsid w:val="0068799D"/>
    <w:rsid w:val="0069602F"/>
    <w:rsid w:val="006A1314"/>
    <w:rsid w:val="0075536C"/>
    <w:rsid w:val="0077745B"/>
    <w:rsid w:val="00786389"/>
    <w:rsid w:val="00787961"/>
    <w:rsid w:val="00792C4D"/>
    <w:rsid w:val="007C02AF"/>
    <w:rsid w:val="007C65C8"/>
    <w:rsid w:val="007F6E99"/>
    <w:rsid w:val="00803B4D"/>
    <w:rsid w:val="008150C2"/>
    <w:rsid w:val="008229B5"/>
    <w:rsid w:val="00850EF9"/>
    <w:rsid w:val="00893191"/>
    <w:rsid w:val="008B43C7"/>
    <w:rsid w:val="008C64CD"/>
    <w:rsid w:val="00914755"/>
    <w:rsid w:val="009618A6"/>
    <w:rsid w:val="00983B33"/>
    <w:rsid w:val="00991FDC"/>
    <w:rsid w:val="009B2AD6"/>
    <w:rsid w:val="009D4C32"/>
    <w:rsid w:val="009D7D1D"/>
    <w:rsid w:val="009E539E"/>
    <w:rsid w:val="00A0192E"/>
    <w:rsid w:val="00A409A7"/>
    <w:rsid w:val="00A52289"/>
    <w:rsid w:val="00A55AAB"/>
    <w:rsid w:val="00A57AFA"/>
    <w:rsid w:val="00A61EDB"/>
    <w:rsid w:val="00A62819"/>
    <w:rsid w:val="00A63E0E"/>
    <w:rsid w:val="00AD38E4"/>
    <w:rsid w:val="00B34268"/>
    <w:rsid w:val="00B403F0"/>
    <w:rsid w:val="00B8192F"/>
    <w:rsid w:val="00BF56B8"/>
    <w:rsid w:val="00C303E2"/>
    <w:rsid w:val="00C43B31"/>
    <w:rsid w:val="00CA3793"/>
    <w:rsid w:val="00CD3425"/>
    <w:rsid w:val="00CD42A4"/>
    <w:rsid w:val="00CE7028"/>
    <w:rsid w:val="00CF05F5"/>
    <w:rsid w:val="00D27475"/>
    <w:rsid w:val="00D35AE1"/>
    <w:rsid w:val="00D56766"/>
    <w:rsid w:val="00D571F1"/>
    <w:rsid w:val="00D63D22"/>
    <w:rsid w:val="00D721E7"/>
    <w:rsid w:val="00D749F1"/>
    <w:rsid w:val="00D970C8"/>
    <w:rsid w:val="00DA487F"/>
    <w:rsid w:val="00DD641E"/>
    <w:rsid w:val="00DF55A4"/>
    <w:rsid w:val="00E0665B"/>
    <w:rsid w:val="00E13CF5"/>
    <w:rsid w:val="00E3085B"/>
    <w:rsid w:val="00E517A8"/>
    <w:rsid w:val="00E60A42"/>
    <w:rsid w:val="00E93815"/>
    <w:rsid w:val="00EB45D5"/>
    <w:rsid w:val="00EE32E8"/>
    <w:rsid w:val="00EF5BE8"/>
    <w:rsid w:val="00F37D4B"/>
    <w:rsid w:val="00FC7B43"/>
    <w:rsid w:val="00FD1A75"/>
    <w:rsid w:val="00FE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10AE34"/>
  <w15:chartTrackingRefBased/>
  <w15:docId w15:val="{3FA88D2F-6257-41D8-A196-BC304BC0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58"/>
    <w:rPr>
      <w:sz w:val="24"/>
    </w:rPr>
  </w:style>
  <w:style w:type="paragraph" w:styleId="Heading1">
    <w:name w:val="heading 1"/>
    <w:basedOn w:val="Normal"/>
    <w:next w:val="Normal"/>
    <w:link w:val="Heading1Char"/>
    <w:uiPriority w:val="9"/>
    <w:qFormat/>
    <w:rsid w:val="00A57AFA"/>
    <w:pPr>
      <w:keepNext/>
      <w:keepLines/>
      <w:spacing w:before="240" w:after="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4878FF"/>
    <w:pPr>
      <w:keepNext/>
      <w:keepLines/>
      <w:spacing w:before="120" w:after="12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1728CD"/>
    <w:pPr>
      <w:keepNext/>
      <w:keepLines/>
      <w:spacing w:before="120" w:after="120"/>
      <w:outlineLvl w:val="2"/>
    </w:pPr>
    <w:rPr>
      <w:rFonts w:ascii="Calibri" w:eastAsiaTheme="majorEastAsia" w:hAnsi="Calibri"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9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9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7AFA"/>
    <w:rPr>
      <w:rFonts w:ascii="Calibri" w:eastAsiaTheme="majorEastAsia" w:hAnsi="Calibri" w:cstheme="majorBidi"/>
      <w:b/>
      <w:sz w:val="32"/>
      <w:szCs w:val="32"/>
    </w:rPr>
  </w:style>
  <w:style w:type="character" w:styleId="Hyperlink">
    <w:name w:val="Hyperlink"/>
    <w:basedOn w:val="DefaultParagraphFont"/>
    <w:uiPriority w:val="99"/>
    <w:unhideWhenUsed/>
    <w:rsid w:val="00991FDC"/>
    <w:rPr>
      <w:color w:val="0563C1" w:themeColor="hyperlink"/>
      <w:u w:val="single"/>
    </w:rPr>
  </w:style>
  <w:style w:type="paragraph" w:styleId="ListParagraph">
    <w:name w:val="List Paragraph"/>
    <w:basedOn w:val="Normal"/>
    <w:uiPriority w:val="34"/>
    <w:qFormat/>
    <w:rsid w:val="00991FDC"/>
    <w:pPr>
      <w:ind w:left="720"/>
      <w:contextualSpacing/>
    </w:pPr>
  </w:style>
  <w:style w:type="character" w:customStyle="1" w:styleId="Heading2Char">
    <w:name w:val="Heading 2 Char"/>
    <w:basedOn w:val="DefaultParagraphFont"/>
    <w:link w:val="Heading2"/>
    <w:uiPriority w:val="9"/>
    <w:rsid w:val="004878FF"/>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1728CD"/>
    <w:rPr>
      <w:rFonts w:ascii="Calibri" w:eastAsiaTheme="majorEastAsia" w:hAnsi="Calibri" w:cstheme="majorBidi"/>
      <w:sz w:val="24"/>
      <w:szCs w:val="24"/>
      <w:u w:val="single"/>
    </w:rPr>
  </w:style>
  <w:style w:type="table" w:styleId="TableGrid">
    <w:name w:val="Table Grid"/>
    <w:basedOn w:val="TableNormal"/>
    <w:uiPriority w:val="59"/>
    <w:rsid w:val="00F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8FF"/>
    <w:rPr>
      <w:color w:val="954F72" w:themeColor="followedHyperlink"/>
      <w:u w:val="single"/>
    </w:rPr>
  </w:style>
  <w:style w:type="paragraph" w:styleId="TOCHeading">
    <w:name w:val="TOC Heading"/>
    <w:basedOn w:val="Heading1"/>
    <w:next w:val="Normal"/>
    <w:uiPriority w:val="39"/>
    <w:unhideWhenUsed/>
    <w:qFormat/>
    <w:rsid w:val="008C64CD"/>
    <w:pPr>
      <w:spacing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8C64CD"/>
    <w:pPr>
      <w:spacing w:after="100"/>
    </w:pPr>
  </w:style>
  <w:style w:type="paragraph" w:styleId="TOC2">
    <w:name w:val="toc 2"/>
    <w:basedOn w:val="Normal"/>
    <w:next w:val="Normal"/>
    <w:autoRedefine/>
    <w:uiPriority w:val="39"/>
    <w:unhideWhenUsed/>
    <w:rsid w:val="008C64CD"/>
    <w:pPr>
      <w:spacing w:after="100"/>
      <w:ind w:left="240"/>
    </w:pPr>
  </w:style>
  <w:style w:type="paragraph" w:styleId="TOC3">
    <w:name w:val="toc 3"/>
    <w:basedOn w:val="Normal"/>
    <w:next w:val="Normal"/>
    <w:autoRedefine/>
    <w:uiPriority w:val="39"/>
    <w:unhideWhenUsed/>
    <w:rsid w:val="008C64CD"/>
    <w:pPr>
      <w:spacing w:after="100"/>
      <w:ind w:left="480"/>
    </w:pPr>
  </w:style>
  <w:style w:type="paragraph" w:styleId="Header">
    <w:name w:val="header"/>
    <w:basedOn w:val="Normal"/>
    <w:link w:val="HeaderChar"/>
    <w:uiPriority w:val="99"/>
    <w:unhideWhenUsed/>
    <w:rsid w:val="00172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CD"/>
    <w:rPr>
      <w:sz w:val="24"/>
    </w:rPr>
  </w:style>
  <w:style w:type="paragraph" w:styleId="Footer">
    <w:name w:val="footer"/>
    <w:basedOn w:val="Normal"/>
    <w:link w:val="FooterChar"/>
    <w:uiPriority w:val="99"/>
    <w:unhideWhenUsed/>
    <w:rsid w:val="00172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CD"/>
    <w:rPr>
      <w:sz w:val="24"/>
    </w:rPr>
  </w:style>
  <w:style w:type="character" w:styleId="CommentReference">
    <w:name w:val="annotation reference"/>
    <w:basedOn w:val="DefaultParagraphFont"/>
    <w:uiPriority w:val="99"/>
    <w:semiHidden/>
    <w:unhideWhenUsed/>
    <w:rsid w:val="0077745B"/>
    <w:rPr>
      <w:sz w:val="16"/>
      <w:szCs w:val="16"/>
    </w:rPr>
  </w:style>
  <w:style w:type="paragraph" w:styleId="CommentText">
    <w:name w:val="annotation text"/>
    <w:basedOn w:val="Normal"/>
    <w:link w:val="CommentTextChar"/>
    <w:uiPriority w:val="99"/>
    <w:semiHidden/>
    <w:unhideWhenUsed/>
    <w:rsid w:val="0077745B"/>
    <w:pPr>
      <w:spacing w:line="240" w:lineRule="auto"/>
    </w:pPr>
    <w:rPr>
      <w:sz w:val="20"/>
      <w:szCs w:val="20"/>
    </w:rPr>
  </w:style>
  <w:style w:type="character" w:customStyle="1" w:styleId="CommentTextChar">
    <w:name w:val="Comment Text Char"/>
    <w:basedOn w:val="DefaultParagraphFont"/>
    <w:link w:val="CommentText"/>
    <w:uiPriority w:val="99"/>
    <w:semiHidden/>
    <w:rsid w:val="0077745B"/>
    <w:rPr>
      <w:sz w:val="20"/>
      <w:szCs w:val="20"/>
    </w:rPr>
  </w:style>
  <w:style w:type="paragraph" w:styleId="CommentSubject">
    <w:name w:val="annotation subject"/>
    <w:basedOn w:val="CommentText"/>
    <w:next w:val="CommentText"/>
    <w:link w:val="CommentSubjectChar"/>
    <w:uiPriority w:val="99"/>
    <w:semiHidden/>
    <w:unhideWhenUsed/>
    <w:rsid w:val="0077745B"/>
    <w:rPr>
      <w:b/>
      <w:bCs/>
    </w:rPr>
  </w:style>
  <w:style w:type="character" w:customStyle="1" w:styleId="CommentSubjectChar">
    <w:name w:val="Comment Subject Char"/>
    <w:basedOn w:val="CommentTextChar"/>
    <w:link w:val="CommentSubject"/>
    <w:uiPriority w:val="99"/>
    <w:semiHidden/>
    <w:rsid w:val="0077745B"/>
    <w:rPr>
      <w:b/>
      <w:bCs/>
      <w:sz w:val="20"/>
      <w:szCs w:val="20"/>
    </w:rPr>
  </w:style>
  <w:style w:type="paragraph" w:styleId="BalloonText">
    <w:name w:val="Balloon Text"/>
    <w:basedOn w:val="Normal"/>
    <w:link w:val="BalloonTextChar"/>
    <w:uiPriority w:val="99"/>
    <w:semiHidden/>
    <w:unhideWhenUsed/>
    <w:rsid w:val="00777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5B"/>
    <w:rPr>
      <w:rFonts w:ascii="Segoe UI" w:hAnsi="Segoe UI" w:cs="Segoe UI"/>
      <w:sz w:val="18"/>
      <w:szCs w:val="18"/>
    </w:rPr>
  </w:style>
  <w:style w:type="paragraph" w:styleId="PlainText">
    <w:name w:val="Plain Text"/>
    <w:basedOn w:val="Normal"/>
    <w:link w:val="PlainTextChar"/>
    <w:uiPriority w:val="99"/>
    <w:unhideWhenUsed/>
    <w:rsid w:val="00113B9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13B9E"/>
    <w:rPr>
      <w:rFonts w:ascii="Calibri" w:hAnsi="Calibri"/>
      <w:szCs w:val="21"/>
    </w:rPr>
  </w:style>
  <w:style w:type="character" w:customStyle="1" w:styleId="NumberedHeadingChar">
    <w:name w:val="Numbered Heading Char"/>
    <w:basedOn w:val="DefaultParagraphFont"/>
    <w:link w:val="NumberedHeading"/>
    <w:uiPriority w:val="2"/>
    <w:locked/>
    <w:rsid w:val="00113B9E"/>
    <w:rPr>
      <w:rFonts w:ascii="Arial" w:eastAsiaTheme="majorEastAsia" w:hAnsi="Arial" w:cstheme="majorBidi"/>
      <w:b/>
      <w:bCs/>
      <w:color w:val="68246D"/>
      <w:kern w:val="32"/>
      <w:szCs w:val="24"/>
    </w:rPr>
  </w:style>
  <w:style w:type="paragraph" w:customStyle="1" w:styleId="TextunderNumbered">
    <w:name w:val="Text under Numbered"/>
    <w:basedOn w:val="Normal"/>
    <w:link w:val="TextunderNumberedChar"/>
    <w:uiPriority w:val="3"/>
    <w:qFormat/>
    <w:rsid w:val="00113B9E"/>
    <w:pPr>
      <w:numPr>
        <w:ilvl w:val="1"/>
        <w:numId w:val="33"/>
      </w:numPr>
      <w:spacing w:after="240" w:line="240" w:lineRule="auto"/>
      <w:ind w:left="567" w:hanging="567"/>
      <w:jc w:val="both"/>
    </w:pPr>
    <w:rPr>
      <w:rFonts w:ascii="Arial" w:eastAsia="Times New Roman" w:hAnsi="Arial" w:cs="Times New Roman"/>
      <w:sz w:val="22"/>
      <w:szCs w:val="24"/>
      <w:lang w:eastAsia="en-GB"/>
    </w:rPr>
  </w:style>
  <w:style w:type="paragraph" w:customStyle="1" w:styleId="NumberedHeading">
    <w:name w:val="Numbered Heading"/>
    <w:basedOn w:val="Heading1"/>
    <w:next w:val="TextunderNumbered"/>
    <w:link w:val="NumberedHeadingChar"/>
    <w:uiPriority w:val="2"/>
    <w:qFormat/>
    <w:rsid w:val="00113B9E"/>
    <w:pPr>
      <w:keepLines w:val="0"/>
      <w:numPr>
        <w:numId w:val="33"/>
      </w:numPr>
      <w:spacing w:before="0" w:line="240" w:lineRule="auto"/>
      <w:ind w:left="567" w:hanging="567"/>
      <w:jc w:val="both"/>
    </w:pPr>
    <w:rPr>
      <w:rFonts w:ascii="Arial" w:hAnsi="Arial"/>
      <w:bCs/>
      <w:color w:val="68246D"/>
      <w:kern w:val="32"/>
      <w:sz w:val="22"/>
      <w:szCs w:val="24"/>
    </w:rPr>
  </w:style>
  <w:style w:type="character" w:customStyle="1" w:styleId="TextunderNumberedChar">
    <w:name w:val="Text under Numbered Char"/>
    <w:basedOn w:val="DefaultParagraphFont"/>
    <w:link w:val="TextunderNumbered"/>
    <w:uiPriority w:val="3"/>
    <w:locked/>
    <w:rsid w:val="00113B9E"/>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113B9E"/>
    <w:pPr>
      <w:numPr>
        <w:ilvl w:val="2"/>
      </w:numPr>
      <w:tabs>
        <w:tab w:val="num" w:pos="360"/>
      </w:tabs>
      <w:ind w:left="1287"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ac.uk/hr/diversityandequality/policies/" TargetMode="External"/><Relationship Id="rId18" Type="http://schemas.openxmlformats.org/officeDocument/2006/relationships/hyperlink" Target="https://www.equalityhumanrights.com/en/publication-download/tackling-racial-harassment-universities-challeng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verpool.ac.uk/researcher/research-staff-conference/" TargetMode="External"/><Relationship Id="rId7" Type="http://schemas.openxmlformats.org/officeDocument/2006/relationships/settings" Target="settings.xml"/><Relationship Id="rId12" Type="http://schemas.openxmlformats.org/officeDocument/2006/relationships/hyperlink" Target="mailto:equality@liv.ac.uk" TargetMode="External"/><Relationship Id="rId17" Type="http://schemas.openxmlformats.org/officeDocument/2006/relationships/hyperlink" Target="https://www.liverpool.ac.uk/intranet/media/livacuk/hr/diversityandequality/dataandreports/reports/Dignity,at,work,and,study,report,2019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verpool.ac.uk/rise/" TargetMode="External"/><Relationship Id="rId20" Type="http://schemas.openxmlformats.org/officeDocument/2006/relationships/hyperlink" Target="https://www.liverpool.ac.uk/media/livacuk/researcher/documents/Statement,of,Expectations,October,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verpool.ac.uk/researcher/prosper/" TargetMode="External"/><Relationship Id="rId5" Type="http://schemas.openxmlformats.org/officeDocument/2006/relationships/numbering" Target="numbering.xml"/><Relationship Id="rId15" Type="http://schemas.openxmlformats.org/officeDocument/2006/relationships/hyperlink" Target="https://www.liverpool.ac.uk/intranet/media/livacuk/hr/diversityandequality/dataandreports/infographicreports/Diversity,&amp;,Equality,Infographic,Report,20192020.pdf" TargetMode="External"/><Relationship Id="rId23" Type="http://schemas.openxmlformats.org/officeDocument/2006/relationships/hyperlink" Target="https://www.liverpool.ac.uk/researcher/making-impact/impact-2020/" TargetMode="External"/><Relationship Id="rId10" Type="http://schemas.openxmlformats.org/officeDocument/2006/relationships/endnotes" Target="endnotes.xml"/><Relationship Id="rId19" Type="http://schemas.openxmlformats.org/officeDocument/2006/relationships/hyperlink" Target="https://www.liverpool.ac.uk/media/a4-equality-and-human-rights-commission-21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ac.uk/intranet/media/livacuk/hr/diversityandequality/dataandreports/infographicreports/D&amp;E,Annual,Report,201920,Top,Level,Infographic,FINAL.pdf" TargetMode="External"/><Relationship Id="rId22" Type="http://schemas.openxmlformats.org/officeDocument/2006/relationships/hyperlink" Target="https://www.liverpool.ac.uk/intranet/men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2" ma:contentTypeDescription="Create a new document." ma:contentTypeScope="" ma:versionID="44cebf1f0cc841967ac6f9a25bf4ed7b">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9fe837c066868554498fc8b8afbe4e9a"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247B-9391-4113-95B5-81AB70606657}">
  <ds:schemaRefs>
    <ds:schemaRef ds:uri="http://purl.org/dc/terms/"/>
    <ds:schemaRef ds:uri="http://schemas.microsoft.com/office/2006/metadata/properties"/>
    <ds:schemaRef ds:uri="8dfae1c7-3ad3-447b-8d6c-022aad3c985d"/>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f32a6417-f7a3-45ea-a0a4-776f11bc0885"/>
    <ds:schemaRef ds:uri="http://purl.org/dc/elements/1.1/"/>
  </ds:schemaRefs>
</ds:datastoreItem>
</file>

<file path=customXml/itemProps2.xml><?xml version="1.0" encoding="utf-8"?>
<ds:datastoreItem xmlns:ds="http://schemas.openxmlformats.org/officeDocument/2006/customXml" ds:itemID="{BDE80E6E-9E45-4122-A61D-BEFBA80B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3229B-814D-4D71-9886-9B0CD6D46362}">
  <ds:schemaRefs>
    <ds:schemaRef ds:uri="http://schemas.microsoft.com/sharepoint/v3/contenttype/forms"/>
  </ds:schemaRefs>
</ds:datastoreItem>
</file>

<file path=customXml/itemProps4.xml><?xml version="1.0" encoding="utf-8"?>
<ds:datastoreItem xmlns:ds="http://schemas.openxmlformats.org/officeDocument/2006/customXml" ds:itemID="{BEA68735-F1C1-498F-9DAC-C2EC4096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17</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Darren</dc:creator>
  <cp:keywords/>
  <dc:description/>
  <cp:lastModifiedBy>Mooney, Darren</cp:lastModifiedBy>
  <cp:revision>8</cp:revision>
  <cp:lastPrinted>2020-11-23T11:28:00Z</cp:lastPrinted>
  <dcterms:created xsi:type="dcterms:W3CDTF">2021-01-28T14:49:00Z</dcterms:created>
  <dcterms:modified xsi:type="dcterms:W3CDTF">2021-07-15T13:56:00Z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